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14D" w:rsidRPr="00C55E75" w:rsidRDefault="00DC414D" w:rsidP="00DC414D">
      <w:pPr>
        <w:pStyle w:val="BodyText"/>
        <w:ind w:right="-135"/>
        <w:jc w:val="center"/>
        <w:rPr>
          <w:b/>
        </w:rPr>
      </w:pPr>
      <w:r w:rsidRPr="00C55E75">
        <w:rPr>
          <w:b/>
        </w:rPr>
        <w:t>ADUNAREA GENERALA ORDINARA A ACTIONARILOR</w:t>
      </w:r>
    </w:p>
    <w:p w:rsidR="00DC414D" w:rsidRPr="00C55E75" w:rsidRDefault="00DC414D" w:rsidP="00DC414D">
      <w:pPr>
        <w:pStyle w:val="BodyText"/>
        <w:ind w:right="-135"/>
        <w:jc w:val="center"/>
        <w:rPr>
          <w:b/>
        </w:rPr>
      </w:pPr>
      <w:r w:rsidRPr="00C55E75">
        <w:rPr>
          <w:b/>
        </w:rPr>
        <w:t>LUCEAFARUL S.A. BACAU</w:t>
      </w:r>
    </w:p>
    <w:p w:rsidR="00DC414D" w:rsidRPr="00C55E75" w:rsidRDefault="00DC414D" w:rsidP="00DC414D">
      <w:pPr>
        <w:pStyle w:val="BodyText"/>
        <w:ind w:right="-135"/>
        <w:jc w:val="center"/>
      </w:pPr>
    </w:p>
    <w:p w:rsidR="00DC414D" w:rsidRPr="00C55E75" w:rsidRDefault="00DC414D" w:rsidP="00DC414D">
      <w:pPr>
        <w:pStyle w:val="BodyText"/>
        <w:ind w:right="-135"/>
        <w:jc w:val="center"/>
      </w:pPr>
      <w:r w:rsidRPr="00C55E75">
        <w:t>PRIMA CONVOCARE:</w:t>
      </w:r>
      <w:r w:rsidRPr="00C55E75">
        <w:tab/>
      </w:r>
      <w:r w:rsidRPr="00C55E75">
        <w:tab/>
        <w:t>1</w:t>
      </w:r>
      <w:r w:rsidR="003C1314">
        <w:t>0</w:t>
      </w:r>
      <w:r w:rsidRPr="00C55E75">
        <w:t>.04.201</w:t>
      </w:r>
      <w:r w:rsidR="003C1314">
        <w:t>7</w:t>
      </w:r>
    </w:p>
    <w:p w:rsidR="00DC414D" w:rsidRPr="00C55E75" w:rsidRDefault="00DC414D" w:rsidP="00DC414D">
      <w:pPr>
        <w:pStyle w:val="BodyText"/>
        <w:ind w:right="-135"/>
        <w:jc w:val="center"/>
      </w:pPr>
      <w:r w:rsidRPr="00C55E75">
        <w:t>A DOUA CONVOCARE:</w:t>
      </w:r>
      <w:r w:rsidRPr="00C55E75">
        <w:tab/>
      </w:r>
      <w:r w:rsidRPr="00C55E75">
        <w:tab/>
      </w:r>
      <w:r w:rsidR="003C1314">
        <w:t>11</w:t>
      </w:r>
      <w:r w:rsidRPr="00C55E75">
        <w:t>.04.201</w:t>
      </w:r>
      <w:r w:rsidR="003C1314">
        <w:t>7</w:t>
      </w:r>
    </w:p>
    <w:p w:rsidR="00DC414D" w:rsidRPr="00C55E75" w:rsidRDefault="00DC414D" w:rsidP="00DC414D">
      <w:pPr>
        <w:pStyle w:val="BodyText"/>
        <w:ind w:right="-135"/>
      </w:pPr>
    </w:p>
    <w:p w:rsidR="00DC414D" w:rsidRPr="00C55E75" w:rsidRDefault="00DC414D" w:rsidP="00DC414D">
      <w:pPr>
        <w:pStyle w:val="BodyText"/>
        <w:ind w:right="-135"/>
      </w:pPr>
    </w:p>
    <w:p w:rsidR="00DC414D" w:rsidRPr="00C55E75" w:rsidRDefault="00DC414D" w:rsidP="00DC414D">
      <w:pPr>
        <w:pStyle w:val="BodyText"/>
        <w:ind w:right="-135"/>
      </w:pPr>
    </w:p>
    <w:p w:rsidR="00DC414D" w:rsidRPr="00C55E75" w:rsidRDefault="00DC414D" w:rsidP="00DC414D">
      <w:pPr>
        <w:pStyle w:val="BodyText"/>
        <w:ind w:right="-135"/>
        <w:jc w:val="center"/>
        <w:rPr>
          <w:b/>
        </w:rPr>
      </w:pPr>
      <w:r w:rsidRPr="00C55E75">
        <w:rPr>
          <w:b/>
          <w:u w:val="single"/>
        </w:rPr>
        <w:t>MATERIAL INFORMATIV</w:t>
      </w:r>
    </w:p>
    <w:p w:rsidR="00DC414D" w:rsidRPr="00C55E75" w:rsidRDefault="00DC414D" w:rsidP="00DC414D">
      <w:pPr>
        <w:pStyle w:val="BodyText"/>
        <w:ind w:right="-135"/>
        <w:jc w:val="center"/>
      </w:pPr>
      <w:r w:rsidRPr="00C55E75">
        <w:t>aferent problemelor supuse adunarii generale extraordinare a actionarilor</w:t>
      </w:r>
    </w:p>
    <w:p w:rsidR="00DC414D" w:rsidRPr="00C55E75" w:rsidRDefault="00DC414D" w:rsidP="00DC414D">
      <w:pPr>
        <w:pStyle w:val="BodyText"/>
        <w:ind w:right="-135"/>
        <w:jc w:val="center"/>
      </w:pPr>
    </w:p>
    <w:p w:rsidR="00DC414D" w:rsidRPr="00C55E75" w:rsidRDefault="00DC414D" w:rsidP="00DC414D">
      <w:pPr>
        <w:pStyle w:val="BodyText"/>
        <w:ind w:right="-135"/>
        <w:jc w:val="center"/>
      </w:pPr>
    </w:p>
    <w:p w:rsidR="00DC414D" w:rsidRPr="00C55E75" w:rsidRDefault="00DC414D" w:rsidP="00DC414D">
      <w:pPr>
        <w:pStyle w:val="BodyText"/>
        <w:numPr>
          <w:ilvl w:val="0"/>
          <w:numId w:val="1"/>
        </w:numPr>
        <w:tabs>
          <w:tab w:val="left" w:pos="720"/>
        </w:tabs>
        <w:ind w:right="-135"/>
      </w:pPr>
      <w:r w:rsidRPr="00C55E75">
        <w:rPr>
          <w:u w:val="single"/>
        </w:rPr>
        <w:t xml:space="preserve">ORDINEA DE ZI </w:t>
      </w:r>
    </w:p>
    <w:p w:rsidR="00DC414D" w:rsidRPr="00C55E75" w:rsidRDefault="00DC414D" w:rsidP="00DC414D">
      <w:pPr>
        <w:pStyle w:val="BodyText"/>
        <w:ind w:right="-135"/>
        <w:jc w:val="center"/>
      </w:pPr>
    </w:p>
    <w:p w:rsidR="00B30DDC" w:rsidRDefault="00B30DDC" w:rsidP="00B30DDC">
      <w:pPr>
        <w:pStyle w:val="BodyText"/>
        <w:numPr>
          <w:ilvl w:val="0"/>
          <w:numId w:val="4"/>
        </w:numPr>
        <w:jc w:val="both"/>
        <w:textAlignment w:val="bottom"/>
        <w:rPr>
          <w:lang w:val="fr-FR"/>
        </w:rPr>
      </w:pPr>
      <w:r>
        <w:rPr>
          <w:lang w:val="fr-FR"/>
        </w:rPr>
        <w:t>Prezentarea, discutarea si aprobarea raportului de activitate al Consiliului de Administratie pe anul 2016;</w:t>
      </w:r>
    </w:p>
    <w:p w:rsidR="00B30DDC" w:rsidRDefault="00B30DDC" w:rsidP="00B30DDC">
      <w:pPr>
        <w:pStyle w:val="BodyText"/>
        <w:numPr>
          <w:ilvl w:val="0"/>
          <w:numId w:val="4"/>
        </w:numPr>
        <w:jc w:val="both"/>
        <w:textAlignment w:val="bottom"/>
        <w:rPr>
          <w:lang w:val="fr-FR"/>
        </w:rPr>
      </w:pPr>
      <w:r>
        <w:rPr>
          <w:lang w:val="fr-FR"/>
        </w:rPr>
        <w:t>Discutarea si aprobarea situatiilor financiare pe anul 2016, insotite de opinia auditorului financiar;</w:t>
      </w:r>
    </w:p>
    <w:p w:rsidR="00B30DDC" w:rsidRDefault="00B30DDC" w:rsidP="00B30DDC">
      <w:pPr>
        <w:pStyle w:val="BodyText"/>
        <w:numPr>
          <w:ilvl w:val="0"/>
          <w:numId w:val="4"/>
        </w:numPr>
        <w:jc w:val="both"/>
        <w:textAlignment w:val="bottom"/>
        <w:rPr>
          <w:lang w:val="fr-FR"/>
        </w:rPr>
      </w:pPr>
      <w:r>
        <w:rPr>
          <w:lang w:val="fr-FR"/>
        </w:rPr>
        <w:t>Aprobarea descarcarii de gestiune a administratorilor pentru anul 2016;</w:t>
      </w:r>
    </w:p>
    <w:p w:rsidR="00B30DDC" w:rsidRDefault="00B30DDC" w:rsidP="00B30DDC">
      <w:pPr>
        <w:pStyle w:val="BodyText"/>
        <w:numPr>
          <w:ilvl w:val="0"/>
          <w:numId w:val="4"/>
        </w:numPr>
        <w:jc w:val="both"/>
      </w:pPr>
      <w:r>
        <w:rPr>
          <w:lang w:val="fr-FR"/>
        </w:rPr>
        <w:t xml:space="preserve">Prezentarea, discutarea si aprobarea bugetului de venituri si cheltuieli pe anul </w:t>
      </w:r>
      <w:r w:rsidRPr="00EC0C47">
        <w:rPr>
          <w:lang w:val="fr-FR"/>
        </w:rPr>
        <w:t>201</w:t>
      </w:r>
      <w:r>
        <w:rPr>
          <w:lang w:val="fr-FR"/>
        </w:rPr>
        <w:t>7</w:t>
      </w:r>
      <w:r>
        <w:t>;</w:t>
      </w:r>
    </w:p>
    <w:p w:rsidR="00B30DDC" w:rsidRDefault="00B30DDC" w:rsidP="00B30DDC">
      <w:pPr>
        <w:pStyle w:val="BodyText"/>
        <w:numPr>
          <w:ilvl w:val="0"/>
          <w:numId w:val="4"/>
        </w:numPr>
        <w:jc w:val="both"/>
        <w:textAlignment w:val="bottom"/>
        <w:rPr>
          <w:lang w:val="fr-FR"/>
        </w:rPr>
      </w:pPr>
      <w:r>
        <w:rPr>
          <w:lang w:val="fr-FR"/>
        </w:rPr>
        <w:t>Aprobarea indemnizatiei lunare pentru toti administratorii;</w:t>
      </w:r>
    </w:p>
    <w:p w:rsidR="00B30DDC" w:rsidRDefault="00B30DDC" w:rsidP="00B30DDC">
      <w:pPr>
        <w:pStyle w:val="BodyText"/>
        <w:numPr>
          <w:ilvl w:val="0"/>
          <w:numId w:val="4"/>
        </w:numPr>
        <w:jc w:val="both"/>
        <w:textAlignment w:val="bottom"/>
        <w:rPr>
          <w:lang w:val="fr-FR"/>
        </w:rPr>
      </w:pPr>
      <w:r>
        <w:rPr>
          <w:lang w:val="fr-FR"/>
        </w:rPr>
        <w:t>Aprobarea plafonului maxim de remunerare a directorului general;</w:t>
      </w:r>
    </w:p>
    <w:p w:rsidR="00B30DDC" w:rsidRDefault="00B30DDC" w:rsidP="00B30DDC">
      <w:pPr>
        <w:pStyle w:val="BodyText"/>
        <w:numPr>
          <w:ilvl w:val="0"/>
          <w:numId w:val="4"/>
        </w:numPr>
        <w:jc w:val="both"/>
        <w:textAlignment w:val="bottom"/>
        <w:rPr>
          <w:lang w:val="fr-FR"/>
        </w:rPr>
      </w:pPr>
      <w:r>
        <w:rPr>
          <w:lang w:val="fr-FR"/>
        </w:rPr>
        <w:t>Alegerea auditorului financiar şi aprobarea duratei contractului încheiat cu acesta;</w:t>
      </w:r>
    </w:p>
    <w:p w:rsidR="00B30DDC" w:rsidRPr="00354D5F" w:rsidRDefault="00B30DDC" w:rsidP="00B30DDC">
      <w:pPr>
        <w:pStyle w:val="BodyText"/>
        <w:numPr>
          <w:ilvl w:val="0"/>
          <w:numId w:val="4"/>
        </w:numPr>
        <w:jc w:val="both"/>
        <w:rPr>
          <w:color w:val="000000" w:themeColor="text1"/>
        </w:rPr>
      </w:pPr>
      <w:r w:rsidRPr="00CD4EC2">
        <w:t xml:space="preserve">Împuternicirea dlui Bîliş Ion-Iustin, cetăţean român, identificat cu CI seria XC nr. 844631, eliberată de SPCLEP Bacău la data de 15.03.2012, să îndeplinească toate procedurile şi formalităţile prevăzute de lege pentru aducerea la îndeplinire a hotărârii </w:t>
      </w:r>
      <w:r w:rsidRPr="00354D5F">
        <w:rPr>
          <w:color w:val="000000" w:themeColor="text1"/>
        </w:rPr>
        <w:t>Adunării, să depună şi să ridice acte, să semneze în numele şi pe seama Societăţii toate documentele necesare, precum şi să reprezinte Societatea în faţa oricăror autorităţi publice/persoane juridice de drept privat, în special în relaţia cu Registrul Comerţului.</w:t>
      </w:r>
    </w:p>
    <w:p w:rsidR="00B30DDC" w:rsidRPr="00097655" w:rsidRDefault="00B30DDC" w:rsidP="00B30DDC">
      <w:pPr>
        <w:pStyle w:val="BodyText"/>
        <w:numPr>
          <w:ilvl w:val="0"/>
          <w:numId w:val="4"/>
        </w:numPr>
        <w:jc w:val="both"/>
        <w:rPr>
          <w:color w:val="000000" w:themeColor="text1"/>
          <w:lang w:val="fr-FR"/>
        </w:rPr>
      </w:pPr>
      <w:r w:rsidRPr="00097655">
        <w:rPr>
          <w:color w:val="000000" w:themeColor="text1"/>
        </w:rPr>
        <w:t>Aprobarea datei de 28</w:t>
      </w:r>
      <w:r w:rsidRPr="00097655">
        <w:rPr>
          <w:bCs/>
          <w:iCs/>
          <w:color w:val="000000" w:themeColor="text1"/>
        </w:rPr>
        <w:t xml:space="preserve"> aprilie 2017 </w:t>
      </w:r>
      <w:r w:rsidRPr="00097655">
        <w:rPr>
          <w:color w:val="000000" w:themeColor="text1"/>
        </w:rPr>
        <w:t>ca „</w:t>
      </w:r>
      <w:r w:rsidRPr="00097655">
        <w:rPr>
          <w:i/>
          <w:color w:val="000000" w:themeColor="text1"/>
        </w:rPr>
        <w:t>dată de înregistrare</w:t>
      </w:r>
      <w:r w:rsidRPr="00097655">
        <w:rPr>
          <w:color w:val="000000" w:themeColor="text1"/>
        </w:rPr>
        <w:t xml:space="preserve">” pentru a servi la identificarea acţionarilor </w:t>
      </w:r>
      <w:r w:rsidRPr="00097655">
        <w:rPr>
          <w:color w:val="000000" w:themeColor="text1"/>
          <w:lang w:val="fr-FR"/>
        </w:rPr>
        <w:t>care beneficiază de alte drepturi şi</w:t>
      </w:r>
      <w:r w:rsidRPr="00097655">
        <w:rPr>
          <w:color w:val="000000" w:themeColor="text1"/>
        </w:rPr>
        <w:t xml:space="preserve"> asupra cărora se răsfrâng efectele hotărârilor Adunării.</w:t>
      </w:r>
    </w:p>
    <w:p w:rsidR="00B30DDC" w:rsidRPr="00097655" w:rsidRDefault="00B30DDC" w:rsidP="00B30DDC">
      <w:pPr>
        <w:pStyle w:val="BodyText"/>
        <w:numPr>
          <w:ilvl w:val="0"/>
          <w:numId w:val="4"/>
        </w:numPr>
        <w:jc w:val="both"/>
        <w:rPr>
          <w:color w:val="000000" w:themeColor="text1"/>
          <w:lang w:val="fr-FR"/>
        </w:rPr>
      </w:pPr>
      <w:r w:rsidRPr="00097655">
        <w:rPr>
          <w:color w:val="000000" w:themeColor="text1"/>
        </w:rPr>
        <w:t>Aprobarea datei de 27 aprilie</w:t>
      </w:r>
      <w:r w:rsidRPr="00097655">
        <w:rPr>
          <w:bCs/>
          <w:iCs/>
          <w:color w:val="000000" w:themeColor="text1"/>
        </w:rPr>
        <w:t xml:space="preserve"> 2017 </w:t>
      </w:r>
      <w:r w:rsidRPr="00097655">
        <w:rPr>
          <w:color w:val="000000" w:themeColor="text1"/>
        </w:rPr>
        <w:t>ca „</w:t>
      </w:r>
      <w:r w:rsidRPr="00097655">
        <w:rPr>
          <w:i/>
          <w:color w:val="000000" w:themeColor="text1"/>
        </w:rPr>
        <w:t>ex date</w:t>
      </w:r>
      <w:r w:rsidRPr="00097655">
        <w:rPr>
          <w:color w:val="000000" w:themeColor="text1"/>
        </w:rPr>
        <w:t>”, respectiv data anterioară datei de înregistrare la care instrumentele financiare obiect al hotărârilor organelor societare se tranzacţionează fără drepturile care derivă din hotărâre.</w:t>
      </w:r>
    </w:p>
    <w:p w:rsidR="00DC414D" w:rsidRDefault="00DC414D" w:rsidP="00DC414D">
      <w:pPr>
        <w:pStyle w:val="BodyText"/>
        <w:ind w:left="1080"/>
        <w:jc w:val="both"/>
        <w:textAlignment w:val="bottom"/>
      </w:pPr>
    </w:p>
    <w:p w:rsidR="00A6780F" w:rsidRPr="00C55E75" w:rsidRDefault="00A6780F" w:rsidP="00DC414D">
      <w:pPr>
        <w:pStyle w:val="BodyText"/>
        <w:ind w:left="1080"/>
        <w:jc w:val="both"/>
        <w:textAlignment w:val="bottom"/>
      </w:pPr>
    </w:p>
    <w:p w:rsidR="00DC414D" w:rsidRPr="00C55E75" w:rsidRDefault="00DC414D" w:rsidP="00DC414D">
      <w:pPr>
        <w:pStyle w:val="BodyText"/>
        <w:ind w:right="-135"/>
        <w:jc w:val="center"/>
      </w:pPr>
      <w:r w:rsidRPr="00C55E75">
        <w:t>2.</w:t>
      </w:r>
      <w:r w:rsidRPr="00C55E75">
        <w:rPr>
          <w:u w:val="single"/>
        </w:rPr>
        <w:t>PROCEDURI DE VOTARE SI DE NUMARARE A VOTURILOR, STRUCTURA ACTIONARIATULUI</w:t>
      </w:r>
    </w:p>
    <w:p w:rsidR="00DC414D" w:rsidRPr="00C55E75" w:rsidRDefault="00DC414D" w:rsidP="00DC414D">
      <w:pPr>
        <w:pStyle w:val="BodyText"/>
        <w:ind w:right="-135"/>
        <w:jc w:val="both"/>
      </w:pPr>
    </w:p>
    <w:p w:rsidR="00DC414D" w:rsidRPr="00C55E75" w:rsidRDefault="00DC414D" w:rsidP="00DC414D">
      <w:pPr>
        <w:ind w:right="-135"/>
        <w:jc w:val="both"/>
        <w:rPr>
          <w:rFonts w:eastAsia="Courier New"/>
          <w:color w:val="000000"/>
          <w:lang w:val="en-US"/>
        </w:rPr>
      </w:pPr>
      <w:r w:rsidRPr="00C55E75">
        <w:rPr>
          <w:rFonts w:eastAsia="Courier New"/>
          <w:color w:val="000000"/>
          <w:lang w:val="en-US"/>
        </w:rPr>
        <w:tab/>
        <w:t>Adunarea generala va alege, dintre actionarii prezenti, 1 pana la 3 secretari, care vor verifica lista de prezenta a actionarilor, indicand capitalul social pe care il reprezinta fiecare, procesul-verbal intocmit de secretarul tehnic pentru constatarea numarului actiunilor depuse si indeplinirea tuturor formalitatilor cerute de lege si de actul constitutiv pentru tinerea adunarii generale.</w:t>
      </w:r>
    </w:p>
    <w:p w:rsidR="00DC414D" w:rsidRPr="00C55E75" w:rsidRDefault="00DC414D" w:rsidP="00DC414D">
      <w:pPr>
        <w:ind w:right="-135"/>
        <w:jc w:val="both"/>
        <w:rPr>
          <w:rFonts w:eastAsia="Courier New"/>
          <w:color w:val="000000"/>
          <w:lang w:val="en-US"/>
        </w:rPr>
      </w:pPr>
      <w:r w:rsidRPr="00C55E75">
        <w:rPr>
          <w:rFonts w:eastAsia="Courier New"/>
          <w:color w:val="000000"/>
          <w:lang w:val="en-US"/>
        </w:rPr>
        <w:lastRenderedPageBreak/>
        <w:tab/>
        <w:t>Unul dintre secretari intocmeste procesul-verbal al sedintei adunarii generale.</w:t>
      </w:r>
    </w:p>
    <w:p w:rsidR="00DC414D" w:rsidRPr="00C55E75" w:rsidRDefault="00DC414D" w:rsidP="00DC414D">
      <w:pPr>
        <w:pStyle w:val="BodyText"/>
        <w:ind w:right="-135"/>
        <w:jc w:val="both"/>
      </w:pPr>
      <w:r w:rsidRPr="00C55E75">
        <w:rPr>
          <w:rFonts w:eastAsia="Courier New"/>
          <w:lang w:val="en-US"/>
        </w:rPr>
        <w:tab/>
        <w:t>Presedintele va putea desemna, dintre angajatii societatii, unul sau mai multi secretari tehnici, care sa ia parte la executarea operatiunilor prevazute de lege.</w:t>
      </w:r>
      <w:r w:rsidRPr="00C55E75">
        <w:tab/>
      </w:r>
    </w:p>
    <w:p w:rsidR="00DC414D" w:rsidRPr="00C55E75" w:rsidRDefault="00DC414D" w:rsidP="00DC414D">
      <w:pPr>
        <w:pStyle w:val="BodyText"/>
        <w:ind w:right="-135"/>
        <w:jc w:val="both"/>
      </w:pPr>
    </w:p>
    <w:p w:rsidR="00DC414D" w:rsidRPr="00C55E75" w:rsidRDefault="00DC414D" w:rsidP="00DC414D">
      <w:pPr>
        <w:pStyle w:val="BodyText"/>
        <w:ind w:right="-135"/>
        <w:jc w:val="both"/>
        <w:rPr>
          <w:u w:val="single"/>
        </w:rPr>
      </w:pPr>
      <w:r w:rsidRPr="00C55E75">
        <w:tab/>
      </w:r>
      <w:r w:rsidRPr="00C55E75">
        <w:rPr>
          <w:u w:val="single"/>
        </w:rPr>
        <w:t>Structura actionariatului si numarul total de drepturi de vot</w:t>
      </w:r>
    </w:p>
    <w:p w:rsidR="00DC414D" w:rsidRPr="00C55E75" w:rsidRDefault="00DC414D" w:rsidP="00DC414D">
      <w:pPr>
        <w:pStyle w:val="BodyText"/>
        <w:ind w:right="-135"/>
        <w:jc w:val="both"/>
        <w:rPr>
          <w:b/>
        </w:rPr>
      </w:pPr>
    </w:p>
    <w:tbl>
      <w:tblPr>
        <w:tblW w:w="0" w:type="auto"/>
        <w:tblInd w:w="123" w:type="dxa"/>
        <w:tblLayout w:type="fixed"/>
        <w:tblLook w:val="0000"/>
      </w:tblPr>
      <w:tblGrid>
        <w:gridCol w:w="639"/>
        <w:gridCol w:w="2496"/>
        <w:gridCol w:w="1629"/>
        <w:gridCol w:w="1265"/>
        <w:gridCol w:w="1391"/>
        <w:gridCol w:w="1506"/>
      </w:tblGrid>
      <w:tr w:rsidR="00DC414D" w:rsidRPr="00C55E75" w:rsidTr="00C21E0D">
        <w:trPr>
          <w:cantSplit/>
        </w:trPr>
        <w:tc>
          <w:tcPr>
            <w:tcW w:w="639" w:type="dxa"/>
            <w:tcBorders>
              <w:top w:val="single" w:sz="1" w:space="0" w:color="000000"/>
              <w:left w:val="single" w:sz="1" w:space="0" w:color="000000"/>
              <w:bottom w:val="single" w:sz="1" w:space="0" w:color="000000"/>
            </w:tcBorders>
            <w:shd w:val="clear" w:color="auto" w:fill="auto"/>
          </w:tcPr>
          <w:p w:rsidR="00DC414D" w:rsidRPr="00C55E75" w:rsidRDefault="00DC414D" w:rsidP="00C21E0D">
            <w:pPr>
              <w:pStyle w:val="BodyText"/>
              <w:ind w:right="-135"/>
              <w:jc w:val="center"/>
              <w:rPr>
                <w:b/>
              </w:rPr>
            </w:pPr>
            <w:r w:rsidRPr="00C55E75">
              <w:rPr>
                <w:b/>
              </w:rPr>
              <w:t>Nr.</w:t>
            </w:r>
          </w:p>
          <w:p w:rsidR="00DC414D" w:rsidRPr="00C55E75" w:rsidRDefault="00DC414D" w:rsidP="00C21E0D">
            <w:pPr>
              <w:pStyle w:val="BodyText"/>
              <w:ind w:right="-135"/>
              <w:jc w:val="center"/>
              <w:rPr>
                <w:b/>
              </w:rPr>
            </w:pPr>
            <w:r w:rsidRPr="00C55E75">
              <w:rPr>
                <w:b/>
              </w:rPr>
              <w:t>crt.</w:t>
            </w:r>
          </w:p>
        </w:tc>
        <w:tc>
          <w:tcPr>
            <w:tcW w:w="2496" w:type="dxa"/>
            <w:tcBorders>
              <w:top w:val="single" w:sz="1" w:space="0" w:color="000000"/>
              <w:left w:val="single" w:sz="1" w:space="0" w:color="000000"/>
              <w:bottom w:val="single" w:sz="1" w:space="0" w:color="000000"/>
            </w:tcBorders>
            <w:shd w:val="clear" w:color="auto" w:fill="auto"/>
          </w:tcPr>
          <w:p w:rsidR="00DC414D" w:rsidRPr="00C55E75" w:rsidRDefault="00DC414D" w:rsidP="00C21E0D">
            <w:pPr>
              <w:pStyle w:val="BodyText"/>
              <w:ind w:right="-135"/>
              <w:jc w:val="center"/>
              <w:rPr>
                <w:b/>
              </w:rPr>
            </w:pPr>
            <w:r w:rsidRPr="00C55E75">
              <w:rPr>
                <w:b/>
              </w:rPr>
              <w:t>Actionari</w:t>
            </w:r>
          </w:p>
        </w:tc>
        <w:tc>
          <w:tcPr>
            <w:tcW w:w="1629" w:type="dxa"/>
            <w:tcBorders>
              <w:top w:val="single" w:sz="1" w:space="0" w:color="000000"/>
              <w:left w:val="single" w:sz="1" w:space="0" w:color="000000"/>
              <w:bottom w:val="single" w:sz="1" w:space="0" w:color="000000"/>
            </w:tcBorders>
            <w:shd w:val="clear" w:color="auto" w:fill="auto"/>
          </w:tcPr>
          <w:p w:rsidR="00DC414D" w:rsidRPr="00C55E75" w:rsidRDefault="00DC414D" w:rsidP="00C21E0D">
            <w:pPr>
              <w:pStyle w:val="BodyText"/>
              <w:ind w:right="-135"/>
              <w:jc w:val="center"/>
              <w:rPr>
                <w:b/>
              </w:rPr>
            </w:pPr>
            <w:r w:rsidRPr="00C55E75">
              <w:rPr>
                <w:b/>
              </w:rPr>
              <w:t>Numar de actiuni/</w:t>
            </w:r>
          </w:p>
          <w:p w:rsidR="00DC414D" w:rsidRPr="00C55E75" w:rsidRDefault="00DC414D" w:rsidP="00C21E0D">
            <w:pPr>
              <w:pStyle w:val="BodyText"/>
              <w:ind w:right="-135"/>
              <w:jc w:val="center"/>
              <w:rPr>
                <w:b/>
              </w:rPr>
            </w:pPr>
            <w:r w:rsidRPr="00C55E75">
              <w:rPr>
                <w:b/>
              </w:rPr>
              <w:t>drepturi de vot</w:t>
            </w:r>
          </w:p>
        </w:tc>
        <w:tc>
          <w:tcPr>
            <w:tcW w:w="1265" w:type="dxa"/>
            <w:tcBorders>
              <w:top w:val="single" w:sz="1" w:space="0" w:color="000000"/>
              <w:left w:val="single" w:sz="1" w:space="0" w:color="000000"/>
              <w:bottom w:val="single" w:sz="1" w:space="0" w:color="000000"/>
            </w:tcBorders>
            <w:shd w:val="clear" w:color="auto" w:fill="auto"/>
          </w:tcPr>
          <w:p w:rsidR="00DC414D" w:rsidRPr="00C55E75" w:rsidRDefault="00DC414D" w:rsidP="00C21E0D">
            <w:pPr>
              <w:pStyle w:val="BodyText"/>
              <w:ind w:right="-135"/>
              <w:jc w:val="center"/>
              <w:rPr>
                <w:b/>
              </w:rPr>
            </w:pPr>
            <w:r w:rsidRPr="00C55E75">
              <w:rPr>
                <w:b/>
              </w:rPr>
              <w:t>Valoare nominala/ actiune</w:t>
            </w:r>
          </w:p>
          <w:p w:rsidR="00DC414D" w:rsidRPr="00C55E75" w:rsidRDefault="00DC414D" w:rsidP="00C21E0D">
            <w:pPr>
              <w:pStyle w:val="BodyText"/>
              <w:ind w:right="-135"/>
              <w:jc w:val="center"/>
              <w:rPr>
                <w:b/>
              </w:rPr>
            </w:pPr>
            <w:r w:rsidRPr="00C55E75">
              <w:rPr>
                <w:b/>
              </w:rPr>
              <w:t>-lei-</w:t>
            </w:r>
          </w:p>
        </w:tc>
        <w:tc>
          <w:tcPr>
            <w:tcW w:w="1391" w:type="dxa"/>
            <w:tcBorders>
              <w:top w:val="single" w:sz="1" w:space="0" w:color="000000"/>
              <w:left w:val="single" w:sz="1" w:space="0" w:color="000000"/>
              <w:bottom w:val="single" w:sz="1" w:space="0" w:color="000000"/>
            </w:tcBorders>
            <w:shd w:val="clear" w:color="auto" w:fill="auto"/>
          </w:tcPr>
          <w:p w:rsidR="00DC414D" w:rsidRPr="00C55E75" w:rsidRDefault="00DC414D" w:rsidP="00C21E0D">
            <w:pPr>
              <w:pStyle w:val="BodyText"/>
              <w:ind w:right="-135"/>
              <w:jc w:val="center"/>
              <w:rPr>
                <w:b/>
              </w:rPr>
            </w:pPr>
            <w:r w:rsidRPr="00C55E75">
              <w:rPr>
                <w:b/>
              </w:rPr>
              <w:t>Valoarea nominala</w:t>
            </w:r>
          </w:p>
          <w:p w:rsidR="00DC414D" w:rsidRPr="00C55E75" w:rsidRDefault="00DC414D" w:rsidP="00C21E0D">
            <w:pPr>
              <w:pStyle w:val="BodyText"/>
              <w:ind w:right="-135"/>
              <w:jc w:val="center"/>
              <w:rPr>
                <w:b/>
              </w:rPr>
            </w:pPr>
            <w:r w:rsidRPr="00C55E75">
              <w:rPr>
                <w:b/>
              </w:rPr>
              <w:t>a</w:t>
            </w:r>
          </w:p>
          <w:p w:rsidR="00DC414D" w:rsidRPr="00C55E75" w:rsidRDefault="00DC414D" w:rsidP="00C21E0D">
            <w:pPr>
              <w:pStyle w:val="BodyText"/>
              <w:ind w:right="-135"/>
              <w:jc w:val="center"/>
              <w:rPr>
                <w:b/>
              </w:rPr>
            </w:pPr>
            <w:r w:rsidRPr="00C55E75">
              <w:rPr>
                <w:b/>
              </w:rPr>
              <w:t>actiunilor</w:t>
            </w:r>
          </w:p>
        </w:tc>
        <w:tc>
          <w:tcPr>
            <w:tcW w:w="1506" w:type="dxa"/>
            <w:tcBorders>
              <w:top w:val="single" w:sz="1" w:space="0" w:color="000000"/>
              <w:left w:val="single" w:sz="1" w:space="0" w:color="000000"/>
              <w:bottom w:val="single" w:sz="1" w:space="0" w:color="000000"/>
              <w:right w:val="single" w:sz="1" w:space="0" w:color="000000"/>
            </w:tcBorders>
            <w:shd w:val="clear" w:color="auto" w:fill="auto"/>
          </w:tcPr>
          <w:p w:rsidR="00DC414D" w:rsidRPr="00C55E75" w:rsidRDefault="00DC414D" w:rsidP="00C21E0D">
            <w:pPr>
              <w:pStyle w:val="BodyText"/>
              <w:ind w:right="-135"/>
              <w:jc w:val="center"/>
            </w:pPr>
            <w:r w:rsidRPr="00C55E75">
              <w:rPr>
                <w:b/>
              </w:rPr>
              <w:t>Pondere in total capital social (%)</w:t>
            </w:r>
          </w:p>
        </w:tc>
      </w:tr>
      <w:tr w:rsidR="00DC414D" w:rsidRPr="00C55E75" w:rsidTr="00C21E0D">
        <w:trPr>
          <w:cantSplit/>
        </w:trPr>
        <w:tc>
          <w:tcPr>
            <w:tcW w:w="639" w:type="dxa"/>
            <w:tcBorders>
              <w:left w:val="single" w:sz="1" w:space="0" w:color="000000"/>
              <w:bottom w:val="single" w:sz="1" w:space="0" w:color="000000"/>
            </w:tcBorders>
            <w:shd w:val="clear" w:color="auto" w:fill="auto"/>
          </w:tcPr>
          <w:p w:rsidR="00DC414D" w:rsidRPr="00C55E75" w:rsidRDefault="00DC414D" w:rsidP="00C21E0D">
            <w:pPr>
              <w:pStyle w:val="BodyText"/>
              <w:ind w:right="-135"/>
              <w:rPr>
                <w:b/>
              </w:rPr>
            </w:pPr>
          </w:p>
          <w:p w:rsidR="00DC414D" w:rsidRPr="00C55E75" w:rsidRDefault="00DC414D" w:rsidP="00C21E0D">
            <w:pPr>
              <w:pStyle w:val="BodyText"/>
              <w:ind w:right="-135"/>
              <w:rPr>
                <w:lang w:val="fr-FR"/>
              </w:rPr>
            </w:pPr>
            <w:r w:rsidRPr="00C55E75">
              <w:rPr>
                <w:b/>
              </w:rPr>
              <w:t>1</w:t>
            </w:r>
          </w:p>
        </w:tc>
        <w:tc>
          <w:tcPr>
            <w:tcW w:w="2496" w:type="dxa"/>
            <w:tcBorders>
              <w:left w:val="single" w:sz="1" w:space="0" w:color="000000"/>
              <w:bottom w:val="single" w:sz="1" w:space="0" w:color="000000"/>
            </w:tcBorders>
            <w:shd w:val="clear" w:color="auto" w:fill="auto"/>
          </w:tcPr>
          <w:p w:rsidR="00DC414D" w:rsidRPr="00C55E75" w:rsidRDefault="00DC414D" w:rsidP="00C21E0D">
            <w:pPr>
              <w:pStyle w:val="BodyText"/>
              <w:ind w:right="-135"/>
              <w:rPr>
                <w:lang w:val="fr-FR"/>
              </w:rPr>
            </w:pPr>
          </w:p>
          <w:p w:rsidR="00DC414D" w:rsidRPr="00C55E75" w:rsidRDefault="00DC414D" w:rsidP="00C21E0D">
            <w:pPr>
              <w:pStyle w:val="BodyText"/>
              <w:ind w:right="-135"/>
              <w:rPr>
                <w:lang w:val="fr-FR"/>
              </w:rPr>
            </w:pPr>
            <w:r w:rsidRPr="00C55E75">
              <w:rPr>
                <w:lang w:val="fr-FR"/>
              </w:rPr>
              <w:t>CHITAC VASILE</w:t>
            </w:r>
          </w:p>
          <w:p w:rsidR="00DC414D" w:rsidRPr="00C55E75" w:rsidRDefault="00DC414D" w:rsidP="00C21E0D">
            <w:pPr>
              <w:pStyle w:val="BodyText"/>
              <w:ind w:right="-135"/>
              <w:rPr>
                <w:lang w:val="fr-FR"/>
              </w:rPr>
            </w:pPr>
          </w:p>
        </w:tc>
        <w:tc>
          <w:tcPr>
            <w:tcW w:w="1629"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rPr>
                <w:b/>
                <w:lang w:val="fr-FR"/>
              </w:rPr>
            </w:pPr>
          </w:p>
          <w:p w:rsidR="00DC414D" w:rsidRPr="00C55E75" w:rsidRDefault="00DC414D" w:rsidP="00C21E0D">
            <w:pPr>
              <w:pStyle w:val="BodyText"/>
              <w:ind w:right="-135"/>
              <w:jc w:val="center"/>
            </w:pPr>
            <w:r w:rsidRPr="00C55E75">
              <w:rPr>
                <w:b/>
              </w:rPr>
              <w:t>167.485</w:t>
            </w:r>
          </w:p>
        </w:tc>
        <w:tc>
          <w:tcPr>
            <w:tcW w:w="1265"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pPr>
          </w:p>
          <w:p w:rsidR="00DC414D" w:rsidRPr="00C55E75" w:rsidRDefault="00DC414D" w:rsidP="00C21E0D">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pPr>
          </w:p>
          <w:p w:rsidR="00DC414D" w:rsidRPr="00C55E75" w:rsidRDefault="00DC414D" w:rsidP="00C21E0D">
            <w:pPr>
              <w:pStyle w:val="BodyText"/>
              <w:ind w:right="-135"/>
              <w:jc w:val="center"/>
              <w:rPr>
                <w:b/>
              </w:rPr>
            </w:pPr>
            <w:r w:rsidRPr="00C55E75">
              <w:t>418.712,50</w:t>
            </w:r>
          </w:p>
        </w:tc>
        <w:tc>
          <w:tcPr>
            <w:tcW w:w="1506" w:type="dxa"/>
            <w:tcBorders>
              <w:left w:val="single" w:sz="1" w:space="0" w:color="000000"/>
              <w:bottom w:val="single" w:sz="1" w:space="0" w:color="000000"/>
              <w:right w:val="single" w:sz="1" w:space="0" w:color="000000"/>
            </w:tcBorders>
            <w:shd w:val="clear" w:color="auto" w:fill="auto"/>
          </w:tcPr>
          <w:p w:rsidR="00DC414D" w:rsidRPr="00C55E75" w:rsidRDefault="00DC414D" w:rsidP="00C21E0D">
            <w:pPr>
              <w:pStyle w:val="BodyText"/>
              <w:ind w:right="-135"/>
              <w:jc w:val="center"/>
              <w:rPr>
                <w:b/>
              </w:rPr>
            </w:pPr>
          </w:p>
          <w:p w:rsidR="00DC414D" w:rsidRPr="00C55E75" w:rsidRDefault="00DC414D" w:rsidP="00C21E0D">
            <w:pPr>
              <w:pStyle w:val="BodyText"/>
              <w:ind w:right="-135"/>
              <w:jc w:val="center"/>
            </w:pPr>
            <w:r w:rsidRPr="00C55E75">
              <w:rPr>
                <w:b/>
              </w:rPr>
              <w:t>61,74039</w:t>
            </w:r>
          </w:p>
        </w:tc>
      </w:tr>
      <w:tr w:rsidR="00DC414D" w:rsidRPr="00C55E75" w:rsidTr="00C21E0D">
        <w:trPr>
          <w:cantSplit/>
        </w:trPr>
        <w:tc>
          <w:tcPr>
            <w:tcW w:w="639" w:type="dxa"/>
            <w:tcBorders>
              <w:left w:val="single" w:sz="1" w:space="0" w:color="000000"/>
              <w:bottom w:val="single" w:sz="1" w:space="0" w:color="000000"/>
            </w:tcBorders>
            <w:shd w:val="clear" w:color="auto" w:fill="auto"/>
          </w:tcPr>
          <w:p w:rsidR="00DC414D" w:rsidRPr="00C55E75" w:rsidRDefault="00DC414D" w:rsidP="00C21E0D">
            <w:pPr>
              <w:pStyle w:val="BodyText"/>
              <w:ind w:right="-135"/>
              <w:rPr>
                <w:b/>
              </w:rPr>
            </w:pPr>
          </w:p>
          <w:p w:rsidR="00DC414D" w:rsidRPr="00C55E75" w:rsidRDefault="00DC414D" w:rsidP="00C21E0D">
            <w:pPr>
              <w:pStyle w:val="BodyText"/>
              <w:ind w:right="-135"/>
            </w:pPr>
            <w:r w:rsidRPr="00C55E75">
              <w:rPr>
                <w:b/>
              </w:rPr>
              <w:t>2</w:t>
            </w:r>
          </w:p>
        </w:tc>
        <w:tc>
          <w:tcPr>
            <w:tcW w:w="2496" w:type="dxa"/>
            <w:tcBorders>
              <w:left w:val="single" w:sz="1" w:space="0" w:color="000000"/>
              <w:bottom w:val="single" w:sz="1" w:space="0" w:color="000000"/>
            </w:tcBorders>
            <w:shd w:val="clear" w:color="auto" w:fill="auto"/>
          </w:tcPr>
          <w:p w:rsidR="00DC414D" w:rsidRPr="00C55E75" w:rsidRDefault="00DC414D" w:rsidP="00C21E0D">
            <w:pPr>
              <w:pStyle w:val="BodyText"/>
              <w:ind w:right="-135"/>
            </w:pPr>
          </w:p>
          <w:p w:rsidR="00DC414D" w:rsidRPr="00C55E75" w:rsidRDefault="00DC414D" w:rsidP="00C21E0D">
            <w:pPr>
              <w:pStyle w:val="BodyText"/>
              <w:ind w:right="-135"/>
            </w:pPr>
            <w:r w:rsidRPr="00C55E75">
              <w:t>S.I.F. MOLDOVA</w:t>
            </w:r>
          </w:p>
          <w:p w:rsidR="00DC414D" w:rsidRPr="00C55E75" w:rsidRDefault="00DC414D" w:rsidP="00C21E0D">
            <w:pPr>
              <w:pStyle w:val="BodyText"/>
              <w:ind w:right="-135"/>
            </w:pPr>
          </w:p>
        </w:tc>
        <w:tc>
          <w:tcPr>
            <w:tcW w:w="1629"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rPr>
                <w:b/>
              </w:rPr>
            </w:pPr>
          </w:p>
          <w:p w:rsidR="00DC414D" w:rsidRPr="00C55E75" w:rsidRDefault="00DC414D" w:rsidP="00C21E0D">
            <w:pPr>
              <w:pStyle w:val="BodyText"/>
              <w:ind w:right="-135"/>
              <w:jc w:val="center"/>
            </w:pPr>
            <w:r w:rsidRPr="00C55E75">
              <w:rPr>
                <w:b/>
              </w:rPr>
              <w:t>66.903</w:t>
            </w:r>
          </w:p>
        </w:tc>
        <w:tc>
          <w:tcPr>
            <w:tcW w:w="1265"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pPr>
          </w:p>
          <w:p w:rsidR="00DC414D" w:rsidRPr="00C55E75" w:rsidRDefault="00DC414D" w:rsidP="00C21E0D">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pPr>
          </w:p>
          <w:p w:rsidR="00DC414D" w:rsidRPr="00C55E75" w:rsidRDefault="00DC414D" w:rsidP="00C21E0D">
            <w:pPr>
              <w:pStyle w:val="BodyText"/>
              <w:ind w:right="-135"/>
              <w:jc w:val="center"/>
              <w:rPr>
                <w:b/>
              </w:rPr>
            </w:pPr>
            <w:r w:rsidRPr="00C55E75">
              <w:t>167.257,50</w:t>
            </w:r>
          </w:p>
        </w:tc>
        <w:tc>
          <w:tcPr>
            <w:tcW w:w="1506" w:type="dxa"/>
            <w:tcBorders>
              <w:left w:val="single" w:sz="1" w:space="0" w:color="000000"/>
              <w:bottom w:val="single" w:sz="1" w:space="0" w:color="000000"/>
              <w:right w:val="single" w:sz="1" w:space="0" w:color="000000"/>
            </w:tcBorders>
            <w:shd w:val="clear" w:color="auto" w:fill="auto"/>
          </w:tcPr>
          <w:p w:rsidR="00DC414D" w:rsidRPr="00C55E75" w:rsidRDefault="00DC414D" w:rsidP="00C21E0D">
            <w:pPr>
              <w:pStyle w:val="BodyText"/>
              <w:ind w:right="-135"/>
              <w:jc w:val="center"/>
              <w:rPr>
                <w:b/>
              </w:rPr>
            </w:pPr>
          </w:p>
          <w:p w:rsidR="00DC414D" w:rsidRPr="00C55E75" w:rsidRDefault="00DC414D" w:rsidP="00C21E0D">
            <w:pPr>
              <w:pStyle w:val="BodyText"/>
              <w:ind w:right="-135"/>
              <w:jc w:val="center"/>
            </w:pPr>
            <w:r w:rsidRPr="00C55E75">
              <w:rPr>
                <w:b/>
              </w:rPr>
              <w:t>24,66261</w:t>
            </w:r>
          </w:p>
        </w:tc>
      </w:tr>
      <w:tr w:rsidR="00DC414D" w:rsidRPr="00C55E75" w:rsidTr="00C21E0D">
        <w:trPr>
          <w:cantSplit/>
        </w:trPr>
        <w:tc>
          <w:tcPr>
            <w:tcW w:w="639" w:type="dxa"/>
            <w:tcBorders>
              <w:left w:val="single" w:sz="1" w:space="0" w:color="000000"/>
              <w:bottom w:val="single" w:sz="1" w:space="0" w:color="000000"/>
            </w:tcBorders>
            <w:shd w:val="clear" w:color="auto" w:fill="auto"/>
          </w:tcPr>
          <w:p w:rsidR="00DC414D" w:rsidRPr="00C55E75" w:rsidRDefault="00DC414D" w:rsidP="00C21E0D">
            <w:pPr>
              <w:pStyle w:val="BodyText"/>
              <w:ind w:right="-135"/>
              <w:rPr>
                <w:b/>
              </w:rPr>
            </w:pPr>
          </w:p>
          <w:p w:rsidR="00DC414D" w:rsidRPr="00C55E75" w:rsidRDefault="00DC414D" w:rsidP="00C21E0D">
            <w:pPr>
              <w:pStyle w:val="BodyText"/>
              <w:ind w:right="-135"/>
            </w:pPr>
            <w:r w:rsidRPr="00C55E75">
              <w:rPr>
                <w:b/>
              </w:rPr>
              <w:t>3</w:t>
            </w:r>
          </w:p>
        </w:tc>
        <w:tc>
          <w:tcPr>
            <w:tcW w:w="2496" w:type="dxa"/>
            <w:tcBorders>
              <w:left w:val="single" w:sz="1" w:space="0" w:color="000000"/>
              <w:bottom w:val="single" w:sz="1" w:space="0" w:color="000000"/>
            </w:tcBorders>
            <w:shd w:val="clear" w:color="auto" w:fill="auto"/>
          </w:tcPr>
          <w:p w:rsidR="00DC414D" w:rsidRPr="00C55E75" w:rsidRDefault="00DC414D" w:rsidP="00C21E0D">
            <w:pPr>
              <w:pStyle w:val="BodyText"/>
              <w:ind w:right="-135"/>
            </w:pPr>
          </w:p>
          <w:p w:rsidR="00DC414D" w:rsidRPr="00C55E75" w:rsidRDefault="00DC414D" w:rsidP="00C21E0D">
            <w:pPr>
              <w:pStyle w:val="BodyText"/>
              <w:ind w:right="-135"/>
            </w:pPr>
            <w:r w:rsidRPr="00C55E75">
              <w:t>Alti actionari</w:t>
            </w:r>
          </w:p>
          <w:p w:rsidR="00DC414D" w:rsidRPr="00C55E75" w:rsidRDefault="00DC414D" w:rsidP="00C21E0D">
            <w:pPr>
              <w:pStyle w:val="BodyText"/>
              <w:ind w:right="-135"/>
            </w:pPr>
          </w:p>
        </w:tc>
        <w:tc>
          <w:tcPr>
            <w:tcW w:w="1629"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rPr>
                <w:b/>
              </w:rPr>
            </w:pPr>
          </w:p>
          <w:p w:rsidR="00DC414D" w:rsidRPr="00C55E75" w:rsidRDefault="00DC414D" w:rsidP="00C21E0D">
            <w:pPr>
              <w:pStyle w:val="BodyText"/>
              <w:ind w:right="-135"/>
              <w:jc w:val="center"/>
            </w:pPr>
            <w:r w:rsidRPr="00C55E75">
              <w:rPr>
                <w:b/>
              </w:rPr>
              <w:t>36.885</w:t>
            </w:r>
          </w:p>
        </w:tc>
        <w:tc>
          <w:tcPr>
            <w:tcW w:w="1265"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pPr>
          </w:p>
          <w:p w:rsidR="00DC414D" w:rsidRPr="00C55E75" w:rsidRDefault="00DC414D" w:rsidP="00C21E0D">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pPr>
          </w:p>
          <w:p w:rsidR="00DC414D" w:rsidRPr="00C55E75" w:rsidRDefault="00DC414D" w:rsidP="00C21E0D">
            <w:pPr>
              <w:pStyle w:val="BodyText"/>
              <w:ind w:right="-135"/>
              <w:jc w:val="center"/>
              <w:rPr>
                <w:b/>
              </w:rPr>
            </w:pPr>
            <w:r w:rsidRPr="00C55E75">
              <w:t>92.212,50</w:t>
            </w:r>
          </w:p>
        </w:tc>
        <w:tc>
          <w:tcPr>
            <w:tcW w:w="1506" w:type="dxa"/>
            <w:tcBorders>
              <w:left w:val="single" w:sz="1" w:space="0" w:color="000000"/>
              <w:bottom w:val="single" w:sz="1" w:space="0" w:color="000000"/>
              <w:right w:val="single" w:sz="1" w:space="0" w:color="000000"/>
            </w:tcBorders>
            <w:shd w:val="clear" w:color="auto" w:fill="auto"/>
          </w:tcPr>
          <w:p w:rsidR="00DC414D" w:rsidRPr="00C55E75" w:rsidRDefault="00DC414D" w:rsidP="00C21E0D">
            <w:pPr>
              <w:pStyle w:val="BodyText"/>
              <w:ind w:right="-135"/>
              <w:jc w:val="center"/>
              <w:rPr>
                <w:b/>
              </w:rPr>
            </w:pPr>
          </w:p>
          <w:p w:rsidR="00DC414D" w:rsidRPr="00C55E75" w:rsidRDefault="00DC414D" w:rsidP="00C21E0D">
            <w:pPr>
              <w:pStyle w:val="BodyText"/>
              <w:ind w:right="-135"/>
              <w:jc w:val="center"/>
            </w:pPr>
            <w:r w:rsidRPr="00C55E75">
              <w:rPr>
                <w:b/>
              </w:rPr>
              <w:t>13,59700</w:t>
            </w:r>
          </w:p>
        </w:tc>
      </w:tr>
      <w:tr w:rsidR="00DC414D" w:rsidRPr="00C55E75" w:rsidTr="00C21E0D">
        <w:trPr>
          <w:cantSplit/>
        </w:trPr>
        <w:tc>
          <w:tcPr>
            <w:tcW w:w="639" w:type="dxa"/>
            <w:tcBorders>
              <w:left w:val="single" w:sz="1" w:space="0" w:color="000000"/>
              <w:bottom w:val="single" w:sz="1" w:space="0" w:color="000000"/>
            </w:tcBorders>
            <w:shd w:val="clear" w:color="auto" w:fill="auto"/>
          </w:tcPr>
          <w:p w:rsidR="00DC414D" w:rsidRPr="00C55E75" w:rsidRDefault="00DC414D" w:rsidP="00C21E0D">
            <w:pPr>
              <w:pStyle w:val="BodyText"/>
              <w:ind w:right="-135"/>
            </w:pPr>
          </w:p>
        </w:tc>
        <w:tc>
          <w:tcPr>
            <w:tcW w:w="2496" w:type="dxa"/>
            <w:tcBorders>
              <w:left w:val="single" w:sz="1" w:space="0" w:color="000000"/>
              <w:bottom w:val="single" w:sz="1" w:space="0" w:color="000000"/>
            </w:tcBorders>
            <w:shd w:val="clear" w:color="auto" w:fill="auto"/>
          </w:tcPr>
          <w:p w:rsidR="00DC414D" w:rsidRPr="00C55E75" w:rsidRDefault="00DC414D" w:rsidP="00C21E0D">
            <w:pPr>
              <w:pStyle w:val="BodyText"/>
              <w:ind w:right="-135"/>
              <w:rPr>
                <w:b/>
              </w:rPr>
            </w:pPr>
          </w:p>
          <w:p w:rsidR="00DC414D" w:rsidRPr="00C55E75" w:rsidRDefault="00DC414D" w:rsidP="00C21E0D">
            <w:pPr>
              <w:pStyle w:val="BodyText"/>
              <w:ind w:right="-135"/>
              <w:rPr>
                <w:b/>
              </w:rPr>
            </w:pPr>
            <w:r w:rsidRPr="00C55E75">
              <w:rPr>
                <w:b/>
              </w:rPr>
              <w:t>TOTAL</w:t>
            </w:r>
          </w:p>
          <w:p w:rsidR="00DC414D" w:rsidRPr="00C55E75" w:rsidRDefault="00DC414D" w:rsidP="00C21E0D">
            <w:pPr>
              <w:pStyle w:val="BodyText"/>
              <w:ind w:right="-135"/>
              <w:rPr>
                <w:b/>
              </w:rPr>
            </w:pPr>
          </w:p>
        </w:tc>
        <w:tc>
          <w:tcPr>
            <w:tcW w:w="1629"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rPr>
                <w:b/>
              </w:rPr>
            </w:pPr>
          </w:p>
          <w:p w:rsidR="00DC414D" w:rsidRPr="00C55E75" w:rsidRDefault="00DC414D" w:rsidP="00C21E0D">
            <w:pPr>
              <w:pStyle w:val="BodyText"/>
              <w:ind w:right="-135"/>
              <w:jc w:val="center"/>
            </w:pPr>
            <w:r w:rsidRPr="00C55E75">
              <w:rPr>
                <w:b/>
              </w:rPr>
              <w:t>271.273</w:t>
            </w:r>
          </w:p>
        </w:tc>
        <w:tc>
          <w:tcPr>
            <w:tcW w:w="1265"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pPr>
          </w:p>
          <w:p w:rsidR="00DC414D" w:rsidRPr="00C55E75" w:rsidRDefault="00DC414D" w:rsidP="00C21E0D">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pPr>
          </w:p>
          <w:p w:rsidR="00DC414D" w:rsidRPr="00C55E75" w:rsidRDefault="00DC414D" w:rsidP="00C21E0D">
            <w:pPr>
              <w:pStyle w:val="BodyText"/>
              <w:ind w:right="-135"/>
              <w:jc w:val="center"/>
              <w:rPr>
                <w:b/>
              </w:rPr>
            </w:pPr>
            <w:r w:rsidRPr="00C55E75">
              <w:t>678.182,50</w:t>
            </w:r>
          </w:p>
        </w:tc>
        <w:tc>
          <w:tcPr>
            <w:tcW w:w="1506" w:type="dxa"/>
            <w:tcBorders>
              <w:left w:val="single" w:sz="1" w:space="0" w:color="000000"/>
              <w:bottom w:val="single" w:sz="1" w:space="0" w:color="000000"/>
              <w:right w:val="single" w:sz="1" w:space="0" w:color="000000"/>
            </w:tcBorders>
            <w:shd w:val="clear" w:color="auto" w:fill="auto"/>
          </w:tcPr>
          <w:p w:rsidR="00DC414D" w:rsidRPr="00C55E75" w:rsidRDefault="00DC414D" w:rsidP="00C21E0D">
            <w:pPr>
              <w:pStyle w:val="BodyText"/>
              <w:ind w:right="-135"/>
              <w:jc w:val="center"/>
              <w:rPr>
                <w:b/>
              </w:rPr>
            </w:pPr>
          </w:p>
          <w:p w:rsidR="00DC414D" w:rsidRPr="00C55E75" w:rsidRDefault="00DC414D" w:rsidP="00C21E0D">
            <w:pPr>
              <w:pStyle w:val="BodyText"/>
              <w:ind w:right="-135"/>
              <w:jc w:val="center"/>
            </w:pPr>
            <w:r w:rsidRPr="00C55E75">
              <w:rPr>
                <w:b/>
              </w:rPr>
              <w:t>100,00000</w:t>
            </w:r>
          </w:p>
        </w:tc>
      </w:tr>
    </w:tbl>
    <w:p w:rsidR="00DC414D" w:rsidRPr="00C55E75" w:rsidRDefault="00DC414D" w:rsidP="00DC414D">
      <w:pPr>
        <w:ind w:right="-135"/>
        <w:jc w:val="both"/>
      </w:pPr>
    </w:p>
    <w:p w:rsidR="00DC414D" w:rsidRPr="00C55E75" w:rsidRDefault="00DC414D" w:rsidP="00DC414D">
      <w:pPr>
        <w:jc w:val="both"/>
      </w:pPr>
      <w:r w:rsidRPr="00C55E75">
        <w:tab/>
        <w:t>Pentru validitatea deliberarilor adunarii generale ordinare este necesara:</w:t>
      </w:r>
    </w:p>
    <w:p w:rsidR="00DC414D" w:rsidRPr="00C55E75" w:rsidRDefault="00DC414D" w:rsidP="00DC414D">
      <w:pPr>
        <w:pStyle w:val="BodyText"/>
        <w:jc w:val="both"/>
      </w:pPr>
      <w:r w:rsidRPr="00C55E75">
        <w:tab/>
        <w:t>- la prima convocare, prezenta actionarilor care sa reprezinte cel putin jumatate din capitalul social, iar hotararile sa fie luate de actionarii ce detin majoritatea absoluta din capitalul social reprezentat in adunare;</w:t>
      </w:r>
    </w:p>
    <w:p w:rsidR="00DC414D" w:rsidRPr="00C55E75" w:rsidRDefault="00DC414D" w:rsidP="00DC414D">
      <w:pPr>
        <w:pStyle w:val="BodyText"/>
        <w:jc w:val="both"/>
        <w:rPr>
          <w:color w:val="800000"/>
        </w:rPr>
      </w:pPr>
      <w:r w:rsidRPr="00C55E75">
        <w:tab/>
        <w:t>- la a doua convocare, adunarea generala ce se va intruni poate sa delibereze asupra problemelor puse la ordinea de zi a celei dintai adunari, oricare ar fi partea de capital reprezentata de actionarii prezenti cu majoritate.</w:t>
      </w:r>
    </w:p>
    <w:p w:rsidR="00461AD2" w:rsidRDefault="00DC414D" w:rsidP="00DC414D">
      <w:pPr>
        <w:pStyle w:val="BodyText"/>
        <w:ind w:right="-135"/>
        <w:jc w:val="both"/>
        <w:rPr>
          <w:lang w:val="fr-FR"/>
        </w:rPr>
      </w:pPr>
      <w:r w:rsidRPr="00C55E75">
        <w:rPr>
          <w:lang w:val="fr-FR"/>
        </w:rPr>
        <w:tab/>
        <w:t xml:space="preserve"> La adunarea generala a actionarilor au dreptul de a participa si vota doar cei care au calitatea de actionari inscrisa in Registrul actionarilor la data de referinta de </w:t>
      </w:r>
      <w:r w:rsidR="00B031D3">
        <w:rPr>
          <w:b/>
          <w:color w:val="auto"/>
          <w:lang w:val="fr-FR"/>
        </w:rPr>
        <w:t>27</w:t>
      </w:r>
      <w:r w:rsidRPr="00185ABB">
        <w:rPr>
          <w:b/>
          <w:color w:val="auto"/>
          <w:lang w:val="fr-FR"/>
        </w:rPr>
        <w:t>.0</w:t>
      </w:r>
      <w:r w:rsidR="00B031D3">
        <w:rPr>
          <w:b/>
          <w:color w:val="auto"/>
          <w:lang w:val="fr-FR"/>
        </w:rPr>
        <w:t>3</w:t>
      </w:r>
      <w:r w:rsidRPr="00185ABB">
        <w:rPr>
          <w:b/>
          <w:color w:val="auto"/>
          <w:lang w:val="fr-FR"/>
        </w:rPr>
        <w:t>.201</w:t>
      </w:r>
      <w:r w:rsidR="00B031D3">
        <w:rPr>
          <w:b/>
          <w:color w:val="auto"/>
          <w:lang w:val="fr-FR"/>
        </w:rPr>
        <w:t>7</w:t>
      </w:r>
      <w:r w:rsidRPr="00185ABB">
        <w:rPr>
          <w:b/>
          <w:color w:val="auto"/>
          <w:lang w:val="fr-FR"/>
        </w:rPr>
        <w:t>.</w:t>
      </w:r>
      <w:r w:rsidRPr="00C55E75">
        <w:rPr>
          <w:lang w:val="fr-FR"/>
        </w:rPr>
        <w:t xml:space="preserve"> Accesul actionarilor este permis prin simpla proba a identitatii acestora. Participarea la lucrarile adunarii generale se va face direct sau prin reprezentanti pe baza de procura speciala.</w:t>
      </w:r>
    </w:p>
    <w:p w:rsidR="00DC414D" w:rsidRPr="00C55E75" w:rsidRDefault="00DC414D" w:rsidP="00461AD2">
      <w:pPr>
        <w:pStyle w:val="BodyText"/>
        <w:ind w:right="-135" w:firstLine="708"/>
        <w:jc w:val="both"/>
      </w:pPr>
      <w:r w:rsidRPr="00C55E75">
        <w:t>Actionarii fara capacitate de exercitiu, precum si actionarii persoane juridice pot fi reprezentati prin reprezentantii lor legali, care, la randul lor, pot acorda procura altor persoane.</w:t>
      </w:r>
    </w:p>
    <w:p w:rsidR="00DC414D" w:rsidRPr="00C55E75" w:rsidRDefault="00DC414D" w:rsidP="00461AD2">
      <w:pPr>
        <w:pStyle w:val="BodyText"/>
        <w:ind w:right="-135" w:firstLine="708"/>
        <w:jc w:val="both"/>
      </w:pPr>
      <w:r w:rsidRPr="00C55E75">
        <w:t xml:space="preserve">Formularele de procuri speciale se pot obtine prin descarcare de pe website-ul Societatii, </w:t>
      </w:r>
      <w:hyperlink r:id="rId7" w:history="1">
        <w:r w:rsidRPr="00C55E75">
          <w:rPr>
            <w:rStyle w:val="Hyperlink"/>
            <w:color w:val="000000"/>
            <w:u w:val="none"/>
          </w:rPr>
          <w:t>www.luceafarul.ro</w:t>
        </w:r>
      </w:hyperlink>
      <w:r w:rsidRPr="00C55E75">
        <w:t xml:space="preserve"> sau de la adresa Societatii din loc. Bacau, Str. Nicolae Balcescu nr. 3, judetul Bacau.</w:t>
      </w:r>
    </w:p>
    <w:p w:rsidR="00DC414D" w:rsidRPr="00C55E75" w:rsidRDefault="00DC414D" w:rsidP="00DC414D">
      <w:pPr>
        <w:pStyle w:val="BodyText"/>
        <w:ind w:right="-135" w:firstLine="708"/>
        <w:jc w:val="both"/>
      </w:pPr>
      <w:r w:rsidRPr="00C55E75">
        <w:t xml:space="preserve">Dupa completarea si semnarea lor, un exemplar original al procurii speciale se va depune la adresa sediului Societatii din Bacau, Str. Nicolae Balcescu nr. 3, judetul Bacau, pana la data de </w:t>
      </w:r>
      <w:r w:rsidR="00B67971">
        <w:rPr>
          <w:b/>
        </w:rPr>
        <w:t>08</w:t>
      </w:r>
      <w:r w:rsidRPr="00C55E75">
        <w:rPr>
          <w:b/>
        </w:rPr>
        <w:t>.04.201</w:t>
      </w:r>
      <w:r w:rsidR="00B67971">
        <w:rPr>
          <w:b/>
        </w:rPr>
        <w:t>7</w:t>
      </w:r>
      <w:r w:rsidRPr="00C55E75">
        <w:t xml:space="preserve"> ora 13.00, un exemplar va fi inmanat imputernicitului, cel de-al treilea exemplar ramanand la actionarul reprezentat. Procurile vor putea fi transmise si prin e-mail la adresa </w:t>
      </w:r>
      <w:r w:rsidRPr="00C55E75">
        <w:rPr>
          <w:b/>
        </w:rPr>
        <w:t xml:space="preserve">office@luceafarul.ro </w:t>
      </w:r>
      <w:r w:rsidRPr="00C55E75">
        <w:t xml:space="preserve">de asemenea pana la data de </w:t>
      </w:r>
      <w:r w:rsidR="00B67971">
        <w:rPr>
          <w:b/>
        </w:rPr>
        <w:t>08</w:t>
      </w:r>
      <w:r w:rsidRPr="00C55E75">
        <w:rPr>
          <w:b/>
        </w:rPr>
        <w:t>.04.201</w:t>
      </w:r>
      <w:r w:rsidR="00B67971">
        <w:rPr>
          <w:b/>
        </w:rPr>
        <w:t>7</w:t>
      </w:r>
      <w:r w:rsidRPr="00C55E75">
        <w:t xml:space="preserve">, ora 10.30. In acest din urma caz, procura va trebui sa aiba atasata o semnatura electronica extinsa. </w:t>
      </w:r>
    </w:p>
    <w:p w:rsidR="00DC414D" w:rsidRPr="00C55E75" w:rsidRDefault="00DC414D" w:rsidP="00DC414D">
      <w:pPr>
        <w:pStyle w:val="BodyText"/>
        <w:ind w:right="-135" w:firstLine="708"/>
        <w:jc w:val="both"/>
      </w:pPr>
      <w:r w:rsidRPr="00C55E75">
        <w:lastRenderedPageBreak/>
        <w:t xml:space="preserve">Procurile generale se depun la / transmit Societatii in termenul si modalitatile sus-mentionate, in copie, cuprinzand mentiunea </w:t>
      </w:r>
      <w:r w:rsidR="00703CC9">
        <w:t>„</w:t>
      </w:r>
      <w:r w:rsidRPr="00C55E75">
        <w:rPr>
          <w:i/>
        </w:rPr>
        <w:t>conform cu originalul</w:t>
      </w:r>
      <w:r w:rsidRPr="00C55E75">
        <w:t xml:space="preserve">” si semnatura reprezentantului. Conform legii, acţionarul poate acorda o procura generala valabila pentru o perioada care nu va depaşi 3 ani, permiţand reprezentantului sau a vota in toate aspectele aflate in dezbaterea adunarilor generale ale acţionarilor a uneia sau mai multor societaţi identificate in procura, inclusiv in ceea ce priveşte acte de dispoziţie, cu condiţia ca imputernicirea sa fie acordata de catre acţionar, in calitate de client, unui intermediar, sau unui avocat. </w:t>
      </w:r>
    </w:p>
    <w:p w:rsidR="00DC414D" w:rsidRPr="00C55E75" w:rsidRDefault="00DC414D" w:rsidP="00DC414D">
      <w:pPr>
        <w:pStyle w:val="BodyText"/>
        <w:ind w:right="-135" w:firstLine="708"/>
        <w:jc w:val="both"/>
      </w:pPr>
      <w:r w:rsidRPr="00C55E75">
        <w:t xml:space="preserve">Procurile generale, inainte de prima lor utilizare, se depun la Societate cu 48 de ore inainte de adunarea generala, in copie, cuprinzand menţiunea conformitaţii cu originalul sub semnatura reprezentantului. Copii certificate ale imputernicirilor sunt reţinute de Societate, facandu-se menţiune despre aceasta in procesul-verbal al adunarii generale. </w:t>
      </w:r>
    </w:p>
    <w:p w:rsidR="00DC414D" w:rsidRPr="00C55E75" w:rsidRDefault="00DC414D" w:rsidP="00DC414D">
      <w:pPr>
        <w:pStyle w:val="BodyText"/>
        <w:ind w:right="-135" w:firstLine="708"/>
        <w:jc w:val="both"/>
      </w:pPr>
      <w:r w:rsidRPr="00C55E75">
        <w:t xml:space="preserve">Acţionarii nu pot fi reprezentaţi in adunarea generala a acţionarilor pe baza unei procuri generale de catre o persoana care se afla intr-o situaţie de conflict de interese ce poate aparea in special in unul dintre urmatoarele cazuri: (a) este un acţionar majoritar al Societaţii sau o alta entitate controlata de respectivul acţionar; (b) este membru al unui organ de administrare, de conducere sau de supraveghere al Societaţii, al unui acţionar majoritar sau al unei entitaţi controlate, conform celor prevazute la lit. a); (c) este un angajat sau un auditor al Societaţii ori al unui acţionar majoritar sau al unei entitaţi controlate, conform celor prevazute la lit. a); (d) este soţul, ruda sau afinul pana la gradul al patrulea inclusiv al uneia dintre persoanele fizice prevazute la lit. a)-c). </w:t>
      </w:r>
    </w:p>
    <w:p w:rsidR="00DC414D" w:rsidRPr="00C55E75" w:rsidRDefault="00DC414D" w:rsidP="00DC414D">
      <w:pPr>
        <w:pStyle w:val="BodyText"/>
        <w:ind w:right="-135" w:firstLine="708"/>
        <w:jc w:val="both"/>
        <w:rPr>
          <w:lang w:val="fr-FR"/>
        </w:rPr>
      </w:pPr>
      <w:r w:rsidRPr="00C55E75">
        <w:t>Reprezentantul numit prin procura generala nu poate fi substituit de o alta persoana. In condiţiile in care persoana imputernicita este o persoana juridica, aceasta poate sa işi exercite mandatul primit prin intermediul oricarei persoane ce face parte din organul de administrare sau conducere sau dintre angajaţii sai.</w:t>
      </w:r>
    </w:p>
    <w:p w:rsidR="00DC414D" w:rsidRPr="00C55E75" w:rsidRDefault="00DC414D" w:rsidP="00DC414D">
      <w:pPr>
        <w:pStyle w:val="BodyText"/>
        <w:ind w:right="-135" w:firstLine="708"/>
        <w:jc w:val="both"/>
      </w:pPr>
      <w:r w:rsidRPr="00C55E75">
        <w:rPr>
          <w:lang w:val="fr-FR"/>
        </w:rPr>
        <w:t xml:space="preserve">In plus, actionarii isi vor putea exprima votul si prin corespondenta. </w:t>
      </w:r>
      <w:r w:rsidRPr="00C55E75">
        <w:t xml:space="preserve">Buletinele de vot prin corespondenta se pot obtine prin descarcare de pe website-ul Societatii, </w:t>
      </w:r>
      <w:hyperlink r:id="rId8" w:history="1">
        <w:r w:rsidRPr="00C55E75">
          <w:rPr>
            <w:rStyle w:val="Hyperlink"/>
            <w:color w:val="000000"/>
            <w:u w:val="none"/>
          </w:rPr>
          <w:t>www.luceafarul.ro</w:t>
        </w:r>
      </w:hyperlink>
      <w:r w:rsidRPr="00C55E75">
        <w:t xml:space="preserve"> sau de la sediul Societatii din localitatea  Bacau, Str. Nicolae Balcescu nr. 3, judetul Bacau. Modul in care acestea trebuie completate si transmise Societatii este detaliat in Regulamentul privind votul prin corespondenta, atasat ca </w:t>
      </w:r>
      <w:fldSimple w:instr=" REF _Ref319591946 \r \h  \* MERGEFORMAT ">
        <w:r w:rsidR="001F14C8">
          <w:t>A</w:t>
        </w:r>
      </w:fldSimple>
      <w:r w:rsidRPr="00C55E75">
        <w:t>nexa 1 la prezentul Material Informativ.</w:t>
      </w:r>
    </w:p>
    <w:p w:rsidR="00DC414D" w:rsidRPr="00C55E75" w:rsidRDefault="00DC414D" w:rsidP="00DC414D">
      <w:pPr>
        <w:pStyle w:val="BodyText"/>
        <w:ind w:right="-135" w:firstLine="708"/>
        <w:jc w:val="both"/>
      </w:pPr>
      <w:r w:rsidRPr="00C55E75">
        <w:t xml:space="preserve">Buletinele de vot prin corespondenta trebuie sa ajunga la adresa mentionata in convocator cel mai tarziu la data de </w:t>
      </w:r>
      <w:r w:rsidR="00703CC9">
        <w:rPr>
          <w:b/>
        </w:rPr>
        <w:t>08</w:t>
      </w:r>
      <w:r w:rsidRPr="00C55E75">
        <w:rPr>
          <w:b/>
        </w:rPr>
        <w:t>.04.201</w:t>
      </w:r>
      <w:r w:rsidR="00703CC9">
        <w:rPr>
          <w:b/>
        </w:rPr>
        <w:t>7</w:t>
      </w:r>
      <w:r w:rsidRPr="00C55E75">
        <w:rPr>
          <w:b/>
        </w:rPr>
        <w:t xml:space="preserve">, </w:t>
      </w:r>
      <w:r w:rsidRPr="00C55E75">
        <w:rPr>
          <w:bCs/>
          <w:iCs/>
        </w:rPr>
        <w:t xml:space="preserve">ora 13.00. </w:t>
      </w:r>
      <w:r w:rsidRPr="00C55E75">
        <w:t xml:space="preserve"> In orice caz, avand in vedere posibilitatea completarii ordinii de zi ca urmare a solicitarilor actionarilor care detin impreuna cel putin 5% din capitalul social, ordinea de zi actualizata (daca va fi cazul) urmand a fi publicata cu cel mult 10 zile inainte de data Adunarii, recomandam ca buletinele de vot prin corespondenta sa nu fie transmise mai devreme </w:t>
      </w:r>
      <w:r w:rsidRPr="00185ABB">
        <w:rPr>
          <w:color w:val="auto"/>
        </w:rPr>
        <w:t xml:space="preserve">de </w:t>
      </w:r>
      <w:r w:rsidR="006404D4">
        <w:rPr>
          <w:b/>
          <w:color w:val="auto"/>
        </w:rPr>
        <w:t>2</w:t>
      </w:r>
      <w:r w:rsidRPr="00185ABB">
        <w:rPr>
          <w:b/>
          <w:color w:val="auto"/>
        </w:rPr>
        <w:t>5.0</w:t>
      </w:r>
      <w:r w:rsidR="00C66E9F">
        <w:rPr>
          <w:b/>
          <w:color w:val="auto"/>
        </w:rPr>
        <w:t>3</w:t>
      </w:r>
      <w:r w:rsidRPr="00185ABB">
        <w:rPr>
          <w:b/>
          <w:color w:val="auto"/>
        </w:rPr>
        <w:t>.201</w:t>
      </w:r>
      <w:r w:rsidR="006404D4">
        <w:rPr>
          <w:b/>
          <w:color w:val="auto"/>
        </w:rPr>
        <w:t>7</w:t>
      </w:r>
      <w:r w:rsidRPr="00185ABB">
        <w:rPr>
          <w:color w:val="auto"/>
        </w:rPr>
        <w:t>.</w:t>
      </w:r>
    </w:p>
    <w:p w:rsidR="00DC414D" w:rsidRPr="00C55E75" w:rsidRDefault="00DC414D" w:rsidP="00DC414D">
      <w:pPr>
        <w:pStyle w:val="BodyText"/>
        <w:ind w:right="-135"/>
        <w:jc w:val="both"/>
      </w:pPr>
      <w:r w:rsidRPr="00C55E75">
        <w:tab/>
        <w:t>Hotararile adunarii generale se iau prin vot deschis.</w:t>
      </w:r>
    </w:p>
    <w:p w:rsidR="00DC414D" w:rsidRPr="00C55E75" w:rsidRDefault="00DC414D" w:rsidP="00DC414D">
      <w:pPr>
        <w:pStyle w:val="BodyText"/>
        <w:ind w:right="-135"/>
        <w:jc w:val="both"/>
      </w:pPr>
      <w:r w:rsidRPr="00C55E75">
        <w:tab/>
        <w:t>Fiecare actiune confera actionarului dreptul la un vot.</w:t>
      </w:r>
    </w:p>
    <w:p w:rsidR="00DC414D" w:rsidRPr="00C55E75" w:rsidRDefault="00DC414D" w:rsidP="00DC414D">
      <w:pPr>
        <w:pStyle w:val="BodyText"/>
        <w:ind w:right="-135"/>
        <w:jc w:val="both"/>
      </w:pPr>
      <w:r w:rsidRPr="00C55E75">
        <w:tab/>
        <w:t>Dreptul la vot nu poate fi cedat.</w:t>
      </w:r>
    </w:p>
    <w:p w:rsidR="00DC414D" w:rsidRPr="00C55E75" w:rsidRDefault="00DC414D" w:rsidP="00DC414D">
      <w:pPr>
        <w:pStyle w:val="BodyText"/>
        <w:ind w:right="-135"/>
        <w:jc w:val="both"/>
      </w:pPr>
      <w:r w:rsidRPr="00C55E75">
        <w:tab/>
        <w:t>Votul secret este obligatoriu pentru alegerea membrilor Consiliului de Administratie si a auditorului financiar, pentru revocarea lor si pentru luarea hotararilor referitoare la raspunderea administratorilor.</w:t>
      </w:r>
    </w:p>
    <w:p w:rsidR="00DC414D" w:rsidRPr="00C55E75" w:rsidRDefault="00DC414D" w:rsidP="00DC414D">
      <w:pPr>
        <w:pStyle w:val="BodyText"/>
        <w:ind w:right="-135"/>
        <w:jc w:val="both"/>
        <w:rPr>
          <w:lang w:val="fr-FR"/>
        </w:rPr>
      </w:pPr>
      <w:r w:rsidRPr="00C55E75">
        <w:tab/>
        <w:t>Hotararile luate de adunarea generala, in limitele legii sau a actului constitutiv, sunt obligatorii, chiar si pentru actionarii care nu au luat parte la adunare sau au votat contra.</w:t>
      </w:r>
    </w:p>
    <w:p w:rsidR="00DC414D" w:rsidRPr="00C55E75" w:rsidRDefault="00DC414D" w:rsidP="00DC414D">
      <w:pPr>
        <w:pStyle w:val="BodyText"/>
        <w:ind w:right="-135"/>
        <w:jc w:val="both"/>
      </w:pPr>
      <w:r w:rsidRPr="00C55E75">
        <w:rPr>
          <w:lang w:val="fr-FR"/>
        </w:rPr>
        <w:tab/>
        <w:t xml:space="preserve">Daca la primul termen nu se intruneste cvorumul de participare cerut de lege, urmatoarea adunare generala ordinara a actionarilor este convocata pentru data de </w:t>
      </w:r>
      <w:r w:rsidR="001D0A06">
        <w:rPr>
          <w:b/>
          <w:lang w:val="fr-FR"/>
        </w:rPr>
        <w:t>11</w:t>
      </w:r>
      <w:r w:rsidRPr="00185ABB">
        <w:rPr>
          <w:b/>
          <w:lang w:val="fr-FR"/>
        </w:rPr>
        <w:t>.04.201</w:t>
      </w:r>
      <w:r w:rsidR="001D0A06">
        <w:rPr>
          <w:b/>
          <w:lang w:val="fr-FR"/>
        </w:rPr>
        <w:t>7</w:t>
      </w:r>
      <w:r w:rsidRPr="00185ABB">
        <w:rPr>
          <w:b/>
          <w:lang w:val="fr-FR"/>
        </w:rPr>
        <w:t>,</w:t>
      </w:r>
      <w:r w:rsidRPr="00C55E75">
        <w:rPr>
          <w:lang w:val="fr-FR"/>
        </w:rPr>
        <w:t xml:space="preserve"> </w:t>
      </w:r>
      <w:r w:rsidRPr="00C55E75">
        <w:rPr>
          <w:lang w:val="fr-FR"/>
        </w:rPr>
        <w:lastRenderedPageBreak/>
        <w:t>cu mentinerea ordinii de zi, in acelasi loc si la aceeasi ora si pentru actionarii inregistrati la aceeasi data de referinta.</w:t>
      </w:r>
    </w:p>
    <w:p w:rsidR="00DC414D" w:rsidRPr="00C55E75" w:rsidRDefault="00DC414D" w:rsidP="00DC414D">
      <w:pPr>
        <w:tabs>
          <w:tab w:val="left" w:pos="5235"/>
        </w:tabs>
        <w:ind w:right="-135"/>
        <w:jc w:val="both"/>
      </w:pPr>
    </w:p>
    <w:p w:rsidR="00DC414D" w:rsidRPr="00C55E75" w:rsidRDefault="00DC414D" w:rsidP="00DC414D">
      <w:pPr>
        <w:pStyle w:val="BodyText"/>
        <w:ind w:right="-135"/>
        <w:jc w:val="center"/>
      </w:pPr>
    </w:p>
    <w:p w:rsidR="00DC414D" w:rsidRPr="00C55E75" w:rsidRDefault="00DC414D" w:rsidP="00DC414D">
      <w:pPr>
        <w:pStyle w:val="BodyText"/>
        <w:ind w:right="-135"/>
        <w:jc w:val="center"/>
      </w:pPr>
      <w:r w:rsidRPr="00C55E75">
        <w:t xml:space="preserve">3. </w:t>
      </w:r>
      <w:r w:rsidRPr="00C55E75">
        <w:rPr>
          <w:u w:val="single"/>
        </w:rPr>
        <w:t>DREPTURI ALE ACTIONARILOR SI MODALITATI DE INFORMARE</w:t>
      </w:r>
    </w:p>
    <w:p w:rsidR="00DC414D" w:rsidRPr="00C55E75" w:rsidRDefault="00DC414D" w:rsidP="00DC414D">
      <w:pPr>
        <w:pStyle w:val="BodyText"/>
        <w:ind w:right="-135"/>
        <w:jc w:val="center"/>
      </w:pPr>
    </w:p>
    <w:p w:rsidR="00DC414D" w:rsidRPr="00C55E75" w:rsidRDefault="00DC414D" w:rsidP="00DC414D">
      <w:pPr>
        <w:pStyle w:val="BodyText"/>
        <w:ind w:right="-135"/>
        <w:jc w:val="center"/>
      </w:pPr>
    </w:p>
    <w:p w:rsidR="00DC414D" w:rsidRPr="00C55E75" w:rsidRDefault="00DC414D" w:rsidP="00DC414D">
      <w:pPr>
        <w:pStyle w:val="BodyText"/>
        <w:jc w:val="both"/>
      </w:pPr>
      <w:r w:rsidRPr="00C55E75">
        <w:rPr>
          <w:lang w:val="fr-FR"/>
        </w:rPr>
        <w:tab/>
        <w:t>Unul sau mai multi actionari reprezentand, individual sau impreuna, cel putin 5% din capitalul social, au dreptul de a introduce puncte pe ordinea de zi a adunarii generale, cu conditia ca fiecare punct sa fie insotit de o justificare sau de un proiect de hotarare propus</w:t>
      </w:r>
      <w:r w:rsidRPr="00C55E75">
        <w:t xml:space="preserve"> spre adoptare de adunarea generala in termen de 15 zile de la data publicarii convocatorului si de a prezenta proiecte de hotarare pentru punctele incluse sau propuse spre a fi incluse pe ordinea de zi a adunarii generale, in termen de 15 zile de la publicarea convocatorului. Aceste drepturi pot fi exercitate numai in scris si pot fi transmise prin servicii de curierat la sediul societatii sau prin email la adresa </w:t>
      </w:r>
      <w:hyperlink r:id="rId9" w:history="1">
        <w:r w:rsidRPr="00C55E75">
          <w:rPr>
            <w:rStyle w:val="Hyperlink"/>
            <w:color w:val="000000"/>
            <w:u w:val="none"/>
            <w:lang w:val="fr-FR"/>
          </w:rPr>
          <w:t>office@luceafarul.ro</w:t>
        </w:r>
      </w:hyperlink>
      <w:r w:rsidRPr="00C55E75">
        <w:t>. In acest din urma caz, va fi necesara atasarea semnaturii electronice extinse la mesajul aferent transmis Societatii.</w:t>
      </w:r>
    </w:p>
    <w:p w:rsidR="00DC414D" w:rsidRPr="00C55E75" w:rsidRDefault="00DC414D" w:rsidP="00DC414D">
      <w:pPr>
        <w:pStyle w:val="BodyText"/>
        <w:jc w:val="both"/>
        <w:textAlignment w:val="bottom"/>
        <w:rPr>
          <w:lang w:val="fr-FR"/>
        </w:rPr>
      </w:pPr>
      <w:r w:rsidRPr="00C55E75">
        <w:tab/>
        <w:t xml:space="preserve">Fiecare actionar are dreptul sa adreseze intrebari privind punctele de pe ordinea de zi a adunarii generale. Intrebarile se pot transmite prin servicii de curierat la sediul societatii sau prin email la adresa </w:t>
      </w:r>
      <w:r w:rsidRPr="00C55E75">
        <w:rPr>
          <w:lang w:val="fr-FR"/>
        </w:rPr>
        <w:t>office@luceafarul.ro</w:t>
      </w:r>
      <w:r w:rsidRPr="00C55E75">
        <w:t>.</w:t>
      </w:r>
    </w:p>
    <w:p w:rsidR="00DC414D" w:rsidRPr="00C55E75" w:rsidRDefault="00DC414D" w:rsidP="00DC414D">
      <w:pPr>
        <w:pStyle w:val="BodyText"/>
        <w:jc w:val="both"/>
        <w:rPr>
          <w:lang w:val="fr-FR"/>
        </w:rPr>
      </w:pPr>
      <w:r w:rsidRPr="00C55E75">
        <w:rPr>
          <w:lang w:val="fr-FR"/>
        </w:rPr>
        <w:tab/>
      </w:r>
    </w:p>
    <w:p w:rsidR="00DC414D" w:rsidRPr="00C55E75" w:rsidRDefault="00DC414D" w:rsidP="00DC414D">
      <w:pPr>
        <w:pStyle w:val="BodyText"/>
        <w:jc w:val="center"/>
        <w:rPr>
          <w:b/>
          <w:bCs/>
        </w:rPr>
      </w:pPr>
      <w:r w:rsidRPr="00C55E75">
        <w:rPr>
          <w:lang w:val="fr-FR"/>
        </w:rPr>
        <w:br w:type="page"/>
      </w:r>
      <w:r w:rsidRPr="00C55E75">
        <w:rPr>
          <w:b/>
          <w:bCs/>
        </w:rPr>
        <w:lastRenderedPageBreak/>
        <w:t>ANEXA 1</w:t>
      </w:r>
    </w:p>
    <w:p w:rsidR="00DC414D" w:rsidRPr="00C55E75" w:rsidRDefault="00DC414D" w:rsidP="00DC414D">
      <w:pPr>
        <w:pStyle w:val="BodyText"/>
        <w:jc w:val="center"/>
        <w:rPr>
          <w:b/>
          <w:bCs/>
        </w:rPr>
      </w:pPr>
      <w:r w:rsidRPr="00C55E75">
        <w:rPr>
          <w:b/>
        </w:rPr>
        <w:t>Regulament privind votul prin corespondenta</w:t>
      </w:r>
    </w:p>
    <w:p w:rsidR="00DC414D" w:rsidRPr="00C55E75" w:rsidRDefault="00DC414D" w:rsidP="00DC414D">
      <w:pPr>
        <w:pStyle w:val="BodyText"/>
      </w:pPr>
    </w:p>
    <w:p w:rsidR="00DC414D" w:rsidRPr="00C55E75" w:rsidRDefault="00DC414D" w:rsidP="00DC414D">
      <w:pPr>
        <w:pStyle w:val="BodyText"/>
        <w:jc w:val="both"/>
      </w:pPr>
      <w:r w:rsidRPr="00C55E75">
        <w:t xml:space="preserve">Votul prin corespondenta se exercita conform regulilor expuse in cele ce urmeaza. </w:t>
      </w:r>
    </w:p>
    <w:p w:rsidR="00DC414D" w:rsidRPr="00C55E75" w:rsidRDefault="00DC414D" w:rsidP="00DC414D">
      <w:pPr>
        <w:pStyle w:val="BodyText"/>
        <w:numPr>
          <w:ilvl w:val="0"/>
          <w:numId w:val="8"/>
        </w:numPr>
        <w:jc w:val="both"/>
        <w:rPr>
          <w:b/>
          <w:bCs/>
        </w:rPr>
      </w:pPr>
      <w:bookmarkStart w:id="0" w:name="_Ref319591946"/>
      <w:r w:rsidRPr="00C55E75">
        <w:rPr>
          <w:b/>
          <w:bCs/>
        </w:rPr>
        <w:t>Buletinele de Vot</w:t>
      </w:r>
      <w:bookmarkEnd w:id="0"/>
    </w:p>
    <w:p w:rsidR="00DC414D" w:rsidRPr="00C55E75" w:rsidRDefault="00DC414D" w:rsidP="00DC414D">
      <w:pPr>
        <w:pStyle w:val="BodyText"/>
        <w:jc w:val="both"/>
      </w:pPr>
      <w:r w:rsidRPr="00C55E75">
        <w:t xml:space="preserve">Cu ocazia tinerii adunarilor generale ale actionarilor Societatii, actionarii inscrisi in registrul actionarilor la data de referinta publicata in anuntul de convocare pot participa la adunarea generala personal, prin reprezentanti sau prin corespondenta. </w:t>
      </w:r>
    </w:p>
    <w:p w:rsidR="00DC414D" w:rsidRPr="00C55E75" w:rsidRDefault="00DC414D" w:rsidP="00DC414D">
      <w:pPr>
        <w:pStyle w:val="BodyText"/>
        <w:jc w:val="both"/>
      </w:pPr>
      <w:r w:rsidRPr="00C55E75">
        <w:t xml:space="preserve">Votul prin corespondenta poate fi utilizat de orice actionar, persoana fizica sau juridica, atat la lucrarile adunarilor generale ordinare, cat si la lucrarile celor extraordinare. In scopul exercitarii de catre actionari a votului prin corespondenta, Societatea va elabora, tipari si va pune la dispozitia actionarilor, pe cheltuiala Societatii, buletine de vot speciale aferente fiecarei adunari generale a actionarilor. Buletinele de vot vor fi puse la dispozitia actionarilor in conditiile aratate in anuntul de convocare, cu cel putin 30 de zile inainte de data adunarii. </w:t>
      </w:r>
    </w:p>
    <w:p w:rsidR="00DC414D" w:rsidRPr="00C55E75" w:rsidRDefault="00DC414D" w:rsidP="00DC414D">
      <w:pPr>
        <w:pStyle w:val="BodyText"/>
        <w:jc w:val="both"/>
      </w:pPr>
      <w:r w:rsidRPr="00C55E75">
        <w:t xml:space="preserve">Fiecare buletin de vot va contine o singura rezolutie supusa votului in cadrul respectivei adunari. In cazul adunarilor generale care au pe ordinea de zi mai multe puncte, se vor redacta atatea tipuri de buletine cate rezolutii sunt supuse aprobarii adunarii respective. </w:t>
      </w:r>
    </w:p>
    <w:p w:rsidR="00DC414D" w:rsidRPr="00C55E75" w:rsidRDefault="00DC414D" w:rsidP="00DC414D">
      <w:pPr>
        <w:pStyle w:val="BodyText"/>
        <w:jc w:val="both"/>
      </w:pPr>
      <w:r w:rsidRPr="00C55E75">
        <w:t xml:space="preserve">Textul rezolutiilor inscrise in buletinele de vot vor fi identice cu textul rezolutiilor inscrise in proiectul de hotarare, care va fi publicat inainte de sedinta adunarii, conform celor indicate in anuntul de convocare. Fiecare buletin va fi astfel redactat incat in legatura cu rezolutia propusa actionarul sa poata alege una din cele trei optiuni de vot („pentru”, „impotriva” sau „abtinere”). Pe buletinele de vot se va face mentiune expresa ca actionarul trebuie sa aleaga o singura optiune din cele trei mentionate mai sus. </w:t>
      </w:r>
    </w:p>
    <w:p w:rsidR="00DC414D" w:rsidRPr="00C55E75" w:rsidRDefault="00DC414D" w:rsidP="00DC414D">
      <w:pPr>
        <w:pStyle w:val="BodyText"/>
        <w:jc w:val="both"/>
      </w:pPr>
    </w:p>
    <w:p w:rsidR="00DC414D" w:rsidRPr="00C55E75" w:rsidRDefault="00DC414D" w:rsidP="00DC414D">
      <w:pPr>
        <w:pStyle w:val="BodyText"/>
        <w:numPr>
          <w:ilvl w:val="0"/>
          <w:numId w:val="8"/>
        </w:numPr>
        <w:jc w:val="both"/>
        <w:rPr>
          <w:b/>
          <w:bCs/>
          <w:iCs/>
        </w:rPr>
      </w:pPr>
      <w:r w:rsidRPr="00C55E75">
        <w:rPr>
          <w:b/>
          <w:bCs/>
          <w:iCs/>
        </w:rPr>
        <w:t>Completarea buletinelor de vot</w:t>
      </w:r>
    </w:p>
    <w:p w:rsidR="00DC414D" w:rsidRPr="00C55E75" w:rsidRDefault="00DC414D" w:rsidP="00DC414D">
      <w:pPr>
        <w:pStyle w:val="BodyText"/>
        <w:jc w:val="both"/>
      </w:pPr>
      <w:r w:rsidRPr="00C55E75">
        <w:t xml:space="preserve">Buletinele de vot completate de catre actionari vor fi trimise in plicuri inchise prin posta sau serviciu de curierat rapid la adresa mentionata in convocator sau transmise prin intermediul postei electronice, caz in care mesajul va fi insotit de o semnatura electronica extinsa; in plus, buletinele vor putea fi depuse si la registratura Societatii in conformitate cu mentiunile cuprinse in convocator. Transmiterea sau, dupa caz, depunerea buletinelor de vot se va face astfel incat ele sa fie inregistrate la registratura Societatii in termenul indicat in anuntul de convocare. </w:t>
      </w:r>
    </w:p>
    <w:p w:rsidR="00DC414D" w:rsidRPr="00C55E75" w:rsidRDefault="00DC414D" w:rsidP="00DC414D">
      <w:pPr>
        <w:pStyle w:val="BodyText"/>
        <w:jc w:val="both"/>
      </w:pPr>
      <w:r w:rsidRPr="00C55E75">
        <w:t>In cazul in care ordinea de zi contine puncte pentru care votul este secret, buletinele de vot aferente respectivelor puncte vor fi inserate in plicuri distincte, care vor fi sigilate si vor purta mentiunea ”vot secret”, impreuna cu identificarea punctului relevant de pe ordinea de zi. Plicurile sigilate distincte continand buletinele de vot aferente punctelor de pe ordinea de zi pentru care votul este secret vor putea fi introduse in acelasi plic care va contine buletinele de vot aferente punctelor pentru care votul este deschis.</w:t>
      </w:r>
    </w:p>
    <w:p w:rsidR="00DC414D" w:rsidRPr="00C55E75" w:rsidRDefault="00DC414D" w:rsidP="00DC414D">
      <w:pPr>
        <w:pStyle w:val="BodyText"/>
        <w:jc w:val="both"/>
      </w:pPr>
    </w:p>
    <w:p w:rsidR="00DC414D" w:rsidRPr="00C55E75" w:rsidRDefault="00DC414D" w:rsidP="00DC414D">
      <w:pPr>
        <w:pStyle w:val="BodyText"/>
        <w:jc w:val="both"/>
      </w:pPr>
      <w:r w:rsidRPr="00C55E75">
        <w:t xml:space="preserve">EXEMPLU PRACTIC: Ordinea de zi a unei adunari generale include 4 puncte, dintre care primele doua puncte (i.e. punctele 1-2) necesita vot secret, iar urmatoarele doua puncte (i.e. punctele 3-4) necesita vot deschis. In acest caz, fiecare din cele doua buletine aferente punctelor 1 si 2 de pe ordinea de zi (pentru care votul este secret) vor fi introduse in cate un plic distinct (care se vor sigila si vor indica: ”Buletin de vot secret – Pct. 1 de pe ordinea de zi”, respectiv ”Buletin de vot secret – Pct. 2 de pe ordinea de zi”). Buletinele de vot aferente punctelor 3-4, pentru care votul este deschis (in total, doua buletine), vor putea fi introduse in </w:t>
      </w:r>
      <w:r w:rsidRPr="00C55E75">
        <w:lastRenderedPageBreak/>
        <w:t>acelasi plic in care sunt introduse cele două plicuri continand buletinele de vot aferente punctelor pentru care votul este secret (i.e. pentru a trimite Societatii doar un singur plic ce va include: doua plicuri aferente fiecaruia din cele doua puncte de pe ordinea de zi pentru care votul este secret si doua buletine de vot aferente punctelor pentru care votul este deschis).</w:t>
      </w:r>
    </w:p>
    <w:p w:rsidR="00DC414D" w:rsidRPr="00C55E75" w:rsidRDefault="00DC414D" w:rsidP="00DC414D">
      <w:pPr>
        <w:pStyle w:val="BodyText"/>
        <w:jc w:val="both"/>
      </w:pPr>
      <w:r w:rsidRPr="00C55E75">
        <w:t xml:space="preserve">Buletinele de vot transmise / depuse fara respectarea termenului stabilit in convocator sau fara respectarea procedurii de transmitere prevazute de prezentul Regulament sunt nule de drept. Constatarea nulitatii se va face de catre comisia responsabila cu votul prin corespondenta. </w:t>
      </w:r>
    </w:p>
    <w:p w:rsidR="00DC414D" w:rsidRPr="00C55E75" w:rsidRDefault="00DC414D" w:rsidP="00DC414D">
      <w:pPr>
        <w:pStyle w:val="BodyText"/>
        <w:jc w:val="both"/>
      </w:pPr>
      <w:r w:rsidRPr="00C55E75">
        <w:t xml:space="preserve">Buletinele de vot vor fi completate cu datele de identificare complete ale actionarilor, adica nume, prenume, domiciliu, cod numeric personal si numarul de actiuni detinute pentru persoane fizice, respectiv denumire, sediu, numar de inregistrare in registrul special de evidenta (cod unic de inregistrare sau numar de inmatriculare la registrul comertului), numele, prenumele si codul numeric personal al reprezentantului legal, precum si numarul de actiuni detinute, pentru persoane juridice. </w:t>
      </w:r>
    </w:p>
    <w:p w:rsidR="00DC414D" w:rsidRPr="00C55E75" w:rsidRDefault="00DC414D" w:rsidP="00DC414D">
      <w:pPr>
        <w:pStyle w:val="BodyText"/>
        <w:jc w:val="both"/>
      </w:pPr>
      <w:r w:rsidRPr="00C55E75">
        <w:t>In cazul actionarilor persoane juridice buletinul de vot va fi semnat si stampilat personal de catre reprezentantul legal al persoanei juridice conform actului constitutiv sau hotararii organelor statutare, semnatarul asumandu-si deplina si exclusiva responsabilitate pentru autenticitatea calitatii si semnaturii. Actionarii persoane fizice vor semna personal buletinul de vot, semnatarii asumandu-si deplina si exclusiva responsabilitate pentru calitatea de actionar si autenticitatea semnaturii.</w:t>
      </w:r>
    </w:p>
    <w:p w:rsidR="00DC414D" w:rsidRPr="00C55E75" w:rsidRDefault="00DC414D" w:rsidP="00DC414D">
      <w:pPr>
        <w:pStyle w:val="BodyText"/>
        <w:jc w:val="both"/>
      </w:pPr>
      <w:r w:rsidRPr="00C55E75">
        <w:t>Pentru actionarii persoane fizice lipsite de capacitate de exercitiu, ori cu capacitate restransa, buletinele de vot prin corespondenta vor fi semnate de catre reprezentantii lor legali, acestia asumandu-si atat calitatea pe care o au precum si autenticitatea semnaturii.</w:t>
      </w:r>
    </w:p>
    <w:p w:rsidR="00DC414D" w:rsidRPr="00C55E75" w:rsidRDefault="00DC414D" w:rsidP="00DC414D">
      <w:pPr>
        <w:pStyle w:val="BodyText"/>
        <w:jc w:val="both"/>
      </w:pPr>
      <w:r w:rsidRPr="00C55E75">
        <w:t xml:space="preserve">In cazul in care la una sau mai multe rezolutii optiunea este multipla, ilizibila sau este exprimata conditionat, ori s-au utilizat alte formulare de buletine de vot, voturile aferente acelor rezolutii vor fi anulate pentru motivul exprimarii viciate a consimtamantului, dar vor fi luate in calculul cvorumului. </w:t>
      </w:r>
    </w:p>
    <w:p w:rsidR="00DC414D" w:rsidRPr="00C55E75" w:rsidRDefault="00DC414D" w:rsidP="00DC414D">
      <w:pPr>
        <w:pStyle w:val="BodyText"/>
        <w:jc w:val="both"/>
      </w:pPr>
    </w:p>
    <w:p w:rsidR="00DC414D" w:rsidRPr="00C55E75" w:rsidRDefault="00DC414D" w:rsidP="00DC414D">
      <w:pPr>
        <w:pStyle w:val="BodyText"/>
        <w:numPr>
          <w:ilvl w:val="0"/>
          <w:numId w:val="8"/>
        </w:numPr>
        <w:jc w:val="both"/>
        <w:rPr>
          <w:b/>
          <w:bCs/>
        </w:rPr>
      </w:pPr>
      <w:r w:rsidRPr="00C55E75">
        <w:rPr>
          <w:b/>
          <w:bCs/>
        </w:rPr>
        <w:t>Comisia responsabila cu votul prin corespondenta</w:t>
      </w:r>
    </w:p>
    <w:p w:rsidR="00DC414D" w:rsidRPr="00C55E75" w:rsidRDefault="00DC414D" w:rsidP="00DC414D">
      <w:pPr>
        <w:pStyle w:val="BodyText"/>
        <w:ind w:left="720"/>
        <w:jc w:val="both"/>
        <w:rPr>
          <w:b/>
          <w:bCs/>
        </w:rPr>
      </w:pPr>
    </w:p>
    <w:p w:rsidR="00DC414D" w:rsidRPr="00C55E75" w:rsidRDefault="00DC414D" w:rsidP="00DC414D">
      <w:pPr>
        <w:pStyle w:val="BodyText"/>
        <w:jc w:val="both"/>
      </w:pPr>
      <w:r w:rsidRPr="00C55E75">
        <w:t>In vederea prelucrarii buletinelor de vot, Presedintele Consiliului de Administratie va desemna componenta nominala a membrilor comisiei responsabile cu centralizarea si tinerea evidentei voturilor exprimate prin corespondenta, respectiv transmise prin posta sau depuse la sediile mentionate in convocator. Decizia va specifica responsabilitatile acesteia si procedurile de centralizare si prelucrare a voturilor.</w:t>
      </w:r>
    </w:p>
    <w:p w:rsidR="00DC414D" w:rsidRPr="00C55E75" w:rsidRDefault="00DC414D" w:rsidP="00DC414D">
      <w:pPr>
        <w:pStyle w:val="BodyText"/>
        <w:jc w:val="both"/>
      </w:pPr>
      <w:r w:rsidRPr="00C55E75">
        <w:t>Comisia va fi compusa din 3 membri, dintre care cel putin unul va avea pregatire juridica. Presedintele Consiliului de Administratie va numi unul din membrii comisiei in calitate de presedinte.</w:t>
      </w:r>
    </w:p>
    <w:p w:rsidR="00DC414D" w:rsidRPr="00C55E75" w:rsidRDefault="00DC414D" w:rsidP="00DC414D">
      <w:pPr>
        <w:pStyle w:val="BodyText"/>
        <w:jc w:val="both"/>
      </w:pPr>
      <w:r w:rsidRPr="00C55E75">
        <w:t>Dupa expirarea termenului de depunere / transmitere a voturilor prin corespondenta, comisia desemnata conform prevederilor de mai sus va centraliza toate voturile sosite prin corespondenta si va incheia un proces-verbal in care va consemna rezultatele voturilor. La inceperea lucrarilor adunarii generale, comisia va inainta Presedintelui Consiliului de Administratie (sau aceluia care ii tine locul) procesul verbal, ca si orice informatie relevanta referitoare la modul de exercitare a votului de catre actionarii care au votat prin corespondenta. La data adunarii, presedintele comisiei va lua parte la dezbateri.</w:t>
      </w:r>
    </w:p>
    <w:p w:rsidR="00DC414D" w:rsidRPr="00C55E75" w:rsidRDefault="00DC414D" w:rsidP="00DC414D">
      <w:pPr>
        <w:pStyle w:val="BodyText"/>
        <w:jc w:val="both"/>
      </w:pPr>
      <w:r w:rsidRPr="00C55E75">
        <w:lastRenderedPageBreak/>
        <w:t xml:space="preserve"> </w:t>
      </w:r>
    </w:p>
    <w:p w:rsidR="00DC414D" w:rsidRPr="00C55E75" w:rsidRDefault="00DC414D" w:rsidP="00DC414D">
      <w:pPr>
        <w:pStyle w:val="BodyText"/>
        <w:numPr>
          <w:ilvl w:val="0"/>
          <w:numId w:val="8"/>
        </w:numPr>
        <w:jc w:val="both"/>
        <w:rPr>
          <w:b/>
          <w:bCs/>
        </w:rPr>
      </w:pPr>
      <w:r w:rsidRPr="00C55E75">
        <w:rPr>
          <w:b/>
          <w:bCs/>
        </w:rPr>
        <w:t>Numararea voturilor in cadrul Adunarii</w:t>
      </w:r>
    </w:p>
    <w:p w:rsidR="00DC414D" w:rsidRPr="00C55E75" w:rsidRDefault="00DC414D" w:rsidP="00DC414D">
      <w:pPr>
        <w:pStyle w:val="BodyText"/>
        <w:ind w:left="720"/>
        <w:jc w:val="both"/>
        <w:rPr>
          <w:b/>
          <w:bCs/>
        </w:rPr>
      </w:pPr>
    </w:p>
    <w:p w:rsidR="00DC414D" w:rsidRPr="00C55E75" w:rsidRDefault="00DC414D" w:rsidP="00DC414D">
      <w:pPr>
        <w:pStyle w:val="BodyText"/>
        <w:jc w:val="both"/>
      </w:pPr>
      <w:r w:rsidRPr="00C55E75">
        <w:t>In cadrul adunarii generale, cu ocazia verificarii cvorumului, presedintele comisiei va transmite secretariatului adunarii situatia voturilor anulate pentru transmiterea cu intarziere sau pentru incalcarea prezentei proceduri si situatia voturilor anulate pentru vicii de procedura. Primind aceasta situatie, secretarul sedintei va stabili cvorumul tinand cont de urmatoarele reguli:</w:t>
      </w:r>
    </w:p>
    <w:p w:rsidR="00DC414D" w:rsidRPr="00C55E75" w:rsidRDefault="00DC414D" w:rsidP="00DC414D">
      <w:pPr>
        <w:pStyle w:val="BodyText"/>
        <w:numPr>
          <w:ilvl w:val="0"/>
          <w:numId w:val="9"/>
        </w:numPr>
        <w:jc w:val="both"/>
      </w:pPr>
      <w:r w:rsidRPr="00C55E75">
        <w:t>voturile nule de drept (voturi transmise Societatii dupa expirarea termenului din anuntul de convocare, voturi care nu identifica actionarul care le-a transmis etc.) nu se iau in considerare nici la calculul cvorumului nici la calculul voturilor pentru rezolutia la care se refera;</w:t>
      </w:r>
    </w:p>
    <w:p w:rsidR="00DC414D" w:rsidRPr="00C55E75" w:rsidRDefault="00DC414D" w:rsidP="00DC414D">
      <w:pPr>
        <w:pStyle w:val="BodyText"/>
        <w:numPr>
          <w:ilvl w:val="0"/>
          <w:numId w:val="9"/>
        </w:numPr>
        <w:jc w:val="both"/>
      </w:pPr>
      <w:r w:rsidRPr="00C55E75">
        <w:rPr>
          <w:bCs/>
        </w:rPr>
        <w:t xml:space="preserve">voturile anulate pentru vicii de procedura (sunt ilizibile, contin optiuni contradictorii sau confuze ori sunt exprimate conditionat) </w:t>
      </w:r>
      <w:r w:rsidRPr="00C55E75">
        <w:t>vor fi luate in calcul pentru stabilirea cvorumului, dar nu vor fi luate in considerare atunci cand punctul de pe ordinea de zi la care se refera este supus la vot.</w:t>
      </w:r>
    </w:p>
    <w:p w:rsidR="00DC414D" w:rsidRPr="00C55E75" w:rsidRDefault="00DC414D" w:rsidP="00DC414D">
      <w:pPr>
        <w:pStyle w:val="BodyText"/>
        <w:jc w:val="both"/>
      </w:pPr>
      <w:r w:rsidRPr="00C55E75">
        <w:t>In situatia in care se constata ca un actionar a votat de mai multe ori cu privire la acelasi punct de pe ordinea de zi, se va lua in considerare ultimul vot valabil exprimat.</w:t>
      </w:r>
    </w:p>
    <w:p w:rsidR="00DC414D" w:rsidRPr="00C55E75" w:rsidRDefault="00DC414D" w:rsidP="00DC414D">
      <w:pPr>
        <w:pStyle w:val="BodyText"/>
        <w:jc w:val="both"/>
      </w:pPr>
      <w:r w:rsidRPr="00C55E75">
        <w:t xml:space="preserve">Cu ocazia supunerii la vot a fiecarui punct de pe ordinea de zi, presedintele comisiei responsabile cu votul prin corespondenta va transmite rezultatul voturilor prin corespondenta catre secretariatul adunarii, pentru a se stabili rezultatul voturilor exprimate la respectivul punct de pe ordinea de zi (voturi date de actionarii prezenti sau prin procura, la care se adauga voturile prin corespondenta). </w:t>
      </w:r>
    </w:p>
    <w:p w:rsidR="00DC414D" w:rsidRPr="00C55E75" w:rsidRDefault="00DC414D" w:rsidP="00DC414D">
      <w:pPr>
        <w:pStyle w:val="BodyText"/>
        <w:jc w:val="both"/>
      </w:pPr>
      <w:r w:rsidRPr="00C55E75">
        <w:t>Modelele de buletine de vot ce se vor pune la dispozitia actionarilor si/sau se vor remite actionarilor prin posta, conform celor specificate in convocator, au un model unic atat pentru persoane fizice cat si pentru cele juridice.</w:t>
      </w:r>
    </w:p>
    <w:p w:rsidR="00DC414D" w:rsidRPr="00C55E75" w:rsidRDefault="00DC414D" w:rsidP="00DC414D">
      <w:pPr>
        <w:pStyle w:val="BodyText"/>
        <w:jc w:val="both"/>
      </w:pPr>
    </w:p>
    <w:p w:rsidR="00D57487" w:rsidRPr="00C55E75" w:rsidRDefault="00D57487" w:rsidP="00692F9C">
      <w:pPr>
        <w:pStyle w:val="BodyText"/>
      </w:pPr>
    </w:p>
    <w:sectPr w:rsidR="00D57487" w:rsidRPr="00C55E75" w:rsidSect="00A620B5">
      <w:footerReference w:type="default" r:id="rId10"/>
      <w:pgSz w:w="12240" w:h="15840"/>
      <w:pgMar w:top="1440" w:right="1454" w:bottom="1440" w:left="180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8EF" w:rsidRDefault="00D938EF" w:rsidP="00185ABB">
      <w:r>
        <w:separator/>
      </w:r>
    </w:p>
  </w:endnote>
  <w:endnote w:type="continuationSeparator" w:id="1">
    <w:p w:rsidR="00D938EF" w:rsidRDefault="00D938EF" w:rsidP="00185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Frutiger Linotype">
    <w:altName w:val="Tahoma"/>
    <w:charset w:val="00"/>
    <w:family w:val="swiss"/>
    <w:pitch w:val="variable"/>
    <w:sig w:usb0="00000001" w:usb1="00000000"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7547"/>
      <w:docPartObj>
        <w:docPartGallery w:val="Page Numbers (Bottom of Page)"/>
        <w:docPartUnique/>
      </w:docPartObj>
    </w:sdtPr>
    <w:sdtContent>
      <w:p w:rsidR="00185ABB" w:rsidRDefault="003A344A">
        <w:pPr>
          <w:pStyle w:val="Footer"/>
          <w:jc w:val="center"/>
        </w:pPr>
        <w:fldSimple w:instr=" PAGE   \* MERGEFORMAT ">
          <w:r w:rsidR="001F14C8">
            <w:rPr>
              <w:noProof/>
            </w:rPr>
            <w:t>7</w:t>
          </w:r>
        </w:fldSimple>
      </w:p>
    </w:sdtContent>
  </w:sdt>
  <w:p w:rsidR="00185ABB" w:rsidRDefault="00185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8EF" w:rsidRDefault="00D938EF" w:rsidP="00185ABB">
      <w:r>
        <w:separator/>
      </w:r>
    </w:p>
  </w:footnote>
  <w:footnote w:type="continuationSeparator" w:id="1">
    <w:p w:rsidR="00D938EF" w:rsidRDefault="00D938EF" w:rsidP="00185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sz w:val="24"/>
        <w:u w:val="none"/>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788604D"/>
    <w:multiLevelType w:val="hybridMultilevel"/>
    <w:tmpl w:val="EEFCDED6"/>
    <w:lvl w:ilvl="0" w:tplc="C1BA79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ED480F"/>
    <w:multiLevelType w:val="hybridMultilevel"/>
    <w:tmpl w:val="8DDCB2A4"/>
    <w:lvl w:ilvl="0" w:tplc="B85662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Calibri" w:eastAsia="Times New Roman" w:hAnsi="Calibr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FA6060E"/>
    <w:multiLevelType w:val="hybridMultilevel"/>
    <w:tmpl w:val="E4A881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84712C"/>
    <w:multiLevelType w:val="hybridMultilevel"/>
    <w:tmpl w:val="D5BC162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3887C0E"/>
    <w:multiLevelType w:val="hybridMultilevel"/>
    <w:tmpl w:val="F72E2B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F582BE0"/>
    <w:multiLevelType w:val="hybridMultilevel"/>
    <w:tmpl w:val="54442B8E"/>
    <w:lvl w:ilvl="0" w:tplc="6E10B84C">
      <w:start w:val="4"/>
      <w:numFmt w:val="bullet"/>
      <w:pStyle w:val="Bulleted"/>
      <w:lvlText w:val=""/>
      <w:lvlJc w:val="left"/>
      <w:pPr>
        <w:tabs>
          <w:tab w:val="num" w:pos="567"/>
        </w:tabs>
        <w:ind w:left="567" w:hanging="567"/>
      </w:pPr>
      <w:rPr>
        <w:rFonts w:ascii="Symbol" w:eastAsia="Times New Roman" w:hAnsi="Symbol" w:cs="Times New Roman" w:hint="default"/>
        <w:b w:val="0"/>
        <w:u w:val="none"/>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3"/>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841D1"/>
    <w:rsid w:val="000F7403"/>
    <w:rsid w:val="00185ABB"/>
    <w:rsid w:val="001D0A06"/>
    <w:rsid w:val="001F14C8"/>
    <w:rsid w:val="00212026"/>
    <w:rsid w:val="00266EE5"/>
    <w:rsid w:val="00317A47"/>
    <w:rsid w:val="00330758"/>
    <w:rsid w:val="00367511"/>
    <w:rsid w:val="003A344A"/>
    <w:rsid w:val="003B7A67"/>
    <w:rsid w:val="003C1314"/>
    <w:rsid w:val="003C47FE"/>
    <w:rsid w:val="003F0EC3"/>
    <w:rsid w:val="00413739"/>
    <w:rsid w:val="00461AD2"/>
    <w:rsid w:val="00481FF2"/>
    <w:rsid w:val="00585539"/>
    <w:rsid w:val="005C3F7D"/>
    <w:rsid w:val="006331D9"/>
    <w:rsid w:val="006404D4"/>
    <w:rsid w:val="0067680C"/>
    <w:rsid w:val="00692F9C"/>
    <w:rsid w:val="006D314E"/>
    <w:rsid w:val="006D534C"/>
    <w:rsid w:val="00703CC9"/>
    <w:rsid w:val="007042CE"/>
    <w:rsid w:val="0076061A"/>
    <w:rsid w:val="007616EE"/>
    <w:rsid w:val="00767DB2"/>
    <w:rsid w:val="00774F32"/>
    <w:rsid w:val="00796B0E"/>
    <w:rsid w:val="007C58C5"/>
    <w:rsid w:val="00813061"/>
    <w:rsid w:val="00854377"/>
    <w:rsid w:val="008D08B8"/>
    <w:rsid w:val="00921F42"/>
    <w:rsid w:val="00946FC4"/>
    <w:rsid w:val="00951B79"/>
    <w:rsid w:val="00A0065F"/>
    <w:rsid w:val="00A620B5"/>
    <w:rsid w:val="00A6780F"/>
    <w:rsid w:val="00A728FE"/>
    <w:rsid w:val="00A86264"/>
    <w:rsid w:val="00A96162"/>
    <w:rsid w:val="00B031D3"/>
    <w:rsid w:val="00B30DDC"/>
    <w:rsid w:val="00B67971"/>
    <w:rsid w:val="00B71201"/>
    <w:rsid w:val="00BD7A25"/>
    <w:rsid w:val="00C13F55"/>
    <w:rsid w:val="00C17C7C"/>
    <w:rsid w:val="00C55E75"/>
    <w:rsid w:val="00C5769E"/>
    <w:rsid w:val="00C614F5"/>
    <w:rsid w:val="00C63C1A"/>
    <w:rsid w:val="00C66E9F"/>
    <w:rsid w:val="00C90BBE"/>
    <w:rsid w:val="00CF349E"/>
    <w:rsid w:val="00D57487"/>
    <w:rsid w:val="00D82B18"/>
    <w:rsid w:val="00D87E85"/>
    <w:rsid w:val="00D938EF"/>
    <w:rsid w:val="00DC414D"/>
    <w:rsid w:val="00E674F3"/>
    <w:rsid w:val="00E841D1"/>
    <w:rsid w:val="00EC347C"/>
    <w:rsid w:val="00EE2C7E"/>
    <w:rsid w:val="00F05E43"/>
    <w:rsid w:val="00F20D95"/>
    <w:rsid w:val="00F31D65"/>
    <w:rsid w:val="00F424BE"/>
    <w:rsid w:val="00F73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B5"/>
    <w:pPr>
      <w:suppressAutoHyphens/>
    </w:pPr>
    <w:rPr>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620B5"/>
  </w:style>
  <w:style w:type="character" w:customStyle="1" w:styleId="Bullets">
    <w:name w:val="Bullets"/>
    <w:rsid w:val="00A620B5"/>
    <w:rPr>
      <w:rFonts w:ascii="StarSymbol" w:eastAsia="StarSymbol" w:hAnsi="StarSymbol" w:cs="StarSymbol"/>
      <w:sz w:val="18"/>
      <w:szCs w:val="18"/>
    </w:rPr>
  </w:style>
  <w:style w:type="character" w:customStyle="1" w:styleId="WW8Num1z0">
    <w:name w:val="WW8Num1z0"/>
    <w:rsid w:val="00A620B5"/>
    <w:rPr>
      <w:sz w:val="24"/>
      <w:u w:val="none"/>
    </w:rPr>
  </w:style>
  <w:style w:type="character" w:customStyle="1" w:styleId="WW-Fontdeparagrafimplicit">
    <w:name w:val="WW-Font de paragraf implicit"/>
    <w:rsid w:val="00A620B5"/>
  </w:style>
  <w:style w:type="character" w:customStyle="1" w:styleId="FootnoteCharacters">
    <w:name w:val="Footnote Characters"/>
    <w:rsid w:val="00A620B5"/>
  </w:style>
  <w:style w:type="character" w:customStyle="1" w:styleId="EndnoteCharacters">
    <w:name w:val="Endnote Characters"/>
    <w:rsid w:val="00A620B5"/>
  </w:style>
  <w:style w:type="paragraph" w:styleId="BodyText">
    <w:name w:val="Body Text"/>
    <w:basedOn w:val="Normal"/>
    <w:rsid w:val="00A620B5"/>
    <w:pPr>
      <w:autoSpaceDE w:val="0"/>
    </w:pPr>
    <w:rPr>
      <w:color w:val="000000"/>
    </w:rPr>
  </w:style>
  <w:style w:type="paragraph" w:styleId="List">
    <w:name w:val="List"/>
    <w:basedOn w:val="BodyText"/>
    <w:rsid w:val="00A620B5"/>
    <w:rPr>
      <w:rFonts w:cs="Tahoma"/>
    </w:rPr>
  </w:style>
  <w:style w:type="paragraph" w:customStyle="1" w:styleId="TableContents">
    <w:name w:val="Table Contents"/>
    <w:basedOn w:val="BodyText"/>
    <w:rsid w:val="00A620B5"/>
    <w:pPr>
      <w:suppressLineNumbers/>
    </w:pPr>
  </w:style>
  <w:style w:type="paragraph" w:customStyle="1" w:styleId="TableHeading">
    <w:name w:val="Table Heading"/>
    <w:basedOn w:val="TableContents"/>
    <w:rsid w:val="00A620B5"/>
    <w:pPr>
      <w:jc w:val="center"/>
    </w:pPr>
    <w:rPr>
      <w:b/>
      <w:bCs/>
      <w:i/>
      <w:iCs/>
    </w:rPr>
  </w:style>
  <w:style w:type="paragraph" w:styleId="Caption">
    <w:name w:val="caption"/>
    <w:basedOn w:val="Normal"/>
    <w:qFormat/>
    <w:rsid w:val="00A620B5"/>
    <w:pPr>
      <w:suppressLineNumbers/>
      <w:spacing w:before="120" w:after="120"/>
    </w:pPr>
    <w:rPr>
      <w:rFonts w:cs="Tahoma"/>
      <w:i/>
      <w:iCs/>
      <w:sz w:val="20"/>
      <w:szCs w:val="20"/>
    </w:rPr>
  </w:style>
  <w:style w:type="paragraph" w:customStyle="1" w:styleId="Index">
    <w:name w:val="Index"/>
    <w:basedOn w:val="Normal"/>
    <w:rsid w:val="00A620B5"/>
    <w:pPr>
      <w:suppressLineNumbers/>
    </w:pPr>
    <w:rPr>
      <w:rFonts w:cs="Tahoma"/>
    </w:rPr>
  </w:style>
  <w:style w:type="paragraph" w:styleId="CommentText">
    <w:name w:val="annotation text"/>
    <w:basedOn w:val="Normal"/>
    <w:link w:val="CommentTextChar"/>
    <w:rsid w:val="007C58C5"/>
    <w:pPr>
      <w:suppressAutoHyphens w:val="0"/>
    </w:pPr>
    <w:rPr>
      <w:sz w:val="20"/>
      <w:szCs w:val="20"/>
      <w:lang w:val="en-US" w:eastAsia="en-US"/>
    </w:rPr>
  </w:style>
  <w:style w:type="character" w:customStyle="1" w:styleId="CommentTextChar">
    <w:name w:val="Comment Text Char"/>
    <w:basedOn w:val="DefaultParagraphFont"/>
    <w:link w:val="CommentText"/>
    <w:rsid w:val="007C58C5"/>
  </w:style>
  <w:style w:type="paragraph" w:customStyle="1" w:styleId="Bulleted">
    <w:name w:val="Bulleted"/>
    <w:basedOn w:val="Normal"/>
    <w:rsid w:val="007C58C5"/>
    <w:pPr>
      <w:numPr>
        <w:numId w:val="5"/>
      </w:numPr>
      <w:suppressAutoHyphens w:val="0"/>
    </w:pPr>
    <w:rPr>
      <w:lang w:val="en-US" w:eastAsia="ro-RO"/>
    </w:rPr>
  </w:style>
  <w:style w:type="character" w:styleId="CommentReference">
    <w:name w:val="annotation reference"/>
    <w:uiPriority w:val="99"/>
    <w:rsid w:val="007C58C5"/>
    <w:rPr>
      <w:sz w:val="16"/>
      <w:szCs w:val="16"/>
    </w:rPr>
  </w:style>
  <w:style w:type="paragraph" w:styleId="BalloonText">
    <w:name w:val="Balloon Text"/>
    <w:basedOn w:val="Normal"/>
    <w:link w:val="BalloonTextChar"/>
    <w:uiPriority w:val="99"/>
    <w:semiHidden/>
    <w:unhideWhenUsed/>
    <w:rsid w:val="007C58C5"/>
    <w:rPr>
      <w:rFonts w:ascii="Tahoma" w:hAnsi="Tahoma"/>
      <w:sz w:val="16"/>
      <w:szCs w:val="16"/>
    </w:rPr>
  </w:style>
  <w:style w:type="character" w:customStyle="1" w:styleId="BalloonTextChar">
    <w:name w:val="Balloon Text Char"/>
    <w:link w:val="BalloonText"/>
    <w:uiPriority w:val="99"/>
    <w:semiHidden/>
    <w:rsid w:val="007C58C5"/>
    <w:rPr>
      <w:rFonts w:ascii="Tahoma" w:hAnsi="Tahoma" w:cs="Tahoma"/>
      <w:sz w:val="16"/>
      <w:szCs w:val="16"/>
      <w:lang w:val="ro-RO" w:eastAsia="ar-SA"/>
    </w:rPr>
  </w:style>
  <w:style w:type="character" w:styleId="Hyperlink">
    <w:name w:val="Hyperlink"/>
    <w:uiPriority w:val="99"/>
    <w:unhideWhenUsed/>
    <w:rsid w:val="007C58C5"/>
    <w:rPr>
      <w:color w:val="0000FF"/>
      <w:u w:val="single"/>
    </w:rPr>
  </w:style>
  <w:style w:type="paragraph" w:styleId="Title">
    <w:name w:val="Title"/>
    <w:basedOn w:val="Normal"/>
    <w:next w:val="Normal"/>
    <w:link w:val="TitleChar"/>
    <w:uiPriority w:val="10"/>
    <w:qFormat/>
    <w:rsid w:val="00C90BB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90BBE"/>
    <w:rPr>
      <w:rFonts w:ascii="Cambria" w:eastAsia="Times New Roman" w:hAnsi="Cambria" w:cs="Times New Roman"/>
      <w:b/>
      <w:bCs/>
      <w:kern w:val="28"/>
      <w:sz w:val="32"/>
      <w:szCs w:val="32"/>
      <w:lang w:val="ro-RO" w:eastAsia="ar-SA"/>
    </w:rPr>
  </w:style>
  <w:style w:type="character" w:styleId="FootnoteReference">
    <w:name w:val="footnote reference"/>
    <w:basedOn w:val="DefaultParagraphFont"/>
    <w:rsid w:val="00D87E85"/>
    <w:rPr>
      <w:rFonts w:ascii="Frutiger Linotype" w:hAnsi="Frutiger Linotype"/>
      <w:sz w:val="22"/>
      <w:szCs w:val="16"/>
      <w:vertAlign w:val="superscript"/>
    </w:rPr>
  </w:style>
  <w:style w:type="paragraph" w:styleId="Header">
    <w:name w:val="header"/>
    <w:basedOn w:val="Normal"/>
    <w:link w:val="HeaderChar"/>
    <w:uiPriority w:val="99"/>
    <w:semiHidden/>
    <w:unhideWhenUsed/>
    <w:rsid w:val="00185ABB"/>
    <w:pPr>
      <w:tabs>
        <w:tab w:val="center" w:pos="4680"/>
        <w:tab w:val="right" w:pos="9360"/>
      </w:tabs>
    </w:pPr>
  </w:style>
  <w:style w:type="character" w:customStyle="1" w:styleId="HeaderChar">
    <w:name w:val="Header Char"/>
    <w:basedOn w:val="DefaultParagraphFont"/>
    <w:link w:val="Header"/>
    <w:uiPriority w:val="99"/>
    <w:semiHidden/>
    <w:rsid w:val="00185ABB"/>
    <w:rPr>
      <w:sz w:val="24"/>
      <w:szCs w:val="24"/>
      <w:lang w:val="ro-RO" w:eastAsia="ar-SA"/>
    </w:rPr>
  </w:style>
  <w:style w:type="paragraph" w:styleId="Footer">
    <w:name w:val="footer"/>
    <w:basedOn w:val="Normal"/>
    <w:link w:val="FooterChar"/>
    <w:uiPriority w:val="99"/>
    <w:unhideWhenUsed/>
    <w:rsid w:val="00185ABB"/>
    <w:pPr>
      <w:tabs>
        <w:tab w:val="center" w:pos="4680"/>
        <w:tab w:val="right" w:pos="9360"/>
      </w:tabs>
    </w:pPr>
  </w:style>
  <w:style w:type="character" w:customStyle="1" w:styleId="FooterChar">
    <w:name w:val="Footer Char"/>
    <w:basedOn w:val="DefaultParagraphFont"/>
    <w:link w:val="Footer"/>
    <w:uiPriority w:val="99"/>
    <w:rsid w:val="00185ABB"/>
    <w:rPr>
      <w:sz w:val="24"/>
      <w:szCs w:val="24"/>
      <w:lang w:val="ro-RO"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ceafarul.ro" TargetMode="External"/><Relationship Id="rId3" Type="http://schemas.openxmlformats.org/officeDocument/2006/relationships/settings" Target="settings.xml"/><Relationship Id="rId7" Type="http://schemas.openxmlformats.org/officeDocument/2006/relationships/hyperlink" Target="http://www.luceafarul.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luceafaru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ADUNAREA GENERALA A ACTIONARILOR</vt:lpstr>
    </vt:vector>
  </TitlesOfParts>
  <Company/>
  <LinksUpToDate>false</LinksUpToDate>
  <CharactersWithSpaces>18878</CharactersWithSpaces>
  <SharedDoc>false</SharedDoc>
  <HLinks>
    <vt:vector size="18" baseType="variant">
      <vt:variant>
        <vt:i4>5374068</vt:i4>
      </vt:variant>
      <vt:variant>
        <vt:i4>9</vt:i4>
      </vt:variant>
      <vt:variant>
        <vt:i4>0</vt:i4>
      </vt:variant>
      <vt:variant>
        <vt:i4>5</vt:i4>
      </vt:variant>
      <vt:variant>
        <vt:lpwstr>mailto:office@luceafarul.ro</vt:lpwstr>
      </vt:variant>
      <vt:variant>
        <vt:lpwstr/>
      </vt:variant>
      <vt:variant>
        <vt:i4>1048650</vt:i4>
      </vt:variant>
      <vt:variant>
        <vt:i4>3</vt:i4>
      </vt:variant>
      <vt:variant>
        <vt:i4>0</vt:i4>
      </vt:variant>
      <vt:variant>
        <vt:i4>5</vt:i4>
      </vt:variant>
      <vt:variant>
        <vt:lpwstr>http://www.luceafarul.ro/</vt:lpwstr>
      </vt:variant>
      <vt:variant>
        <vt:lpwstr/>
      </vt:variant>
      <vt:variant>
        <vt:i4>1048650</vt:i4>
      </vt:variant>
      <vt:variant>
        <vt:i4>0</vt:i4>
      </vt:variant>
      <vt:variant>
        <vt:i4>0</vt:i4>
      </vt:variant>
      <vt:variant>
        <vt:i4>5</vt:i4>
      </vt:variant>
      <vt:variant>
        <vt:lpwstr>http://www.luceafarul.ro/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ADUNAREA GENERALA A ACTIONARILOR</dc:title>
  <dc:creator>IUSTIN</dc:creator>
  <cp:lastModifiedBy>sefmag</cp:lastModifiedBy>
  <cp:revision>15</cp:revision>
  <cp:lastPrinted>2017-03-07T06:29:00Z</cp:lastPrinted>
  <dcterms:created xsi:type="dcterms:W3CDTF">2017-03-05T15:31:00Z</dcterms:created>
  <dcterms:modified xsi:type="dcterms:W3CDTF">2017-03-07T06:30:00Z</dcterms:modified>
</cp:coreProperties>
</file>